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7AEB57E">
      <w:pPr>
        <w:widowControl w:val="0"/>
        <w:adjustRightInd w:val="0"/>
        <w:snapToGrid w:val="0"/>
        <w:spacing w:line="580" w:lineRule="exact"/>
        <w:jc w:val="center"/>
        <w:rPr>
          <w:rFonts w:hint="eastAsia"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lang w:bidi="ar"/>
        </w:rPr>
        <w:t>门头沟区房地一体宅基地确权登记工作细则（</w:t>
      </w:r>
      <w:r>
        <w:rPr>
          <w:rFonts w:hint="eastAsia" w:ascii="方正小标宋简体" w:hAnsi="方正小标宋简体" w:eastAsia="方正小标宋简体" w:cs="方正小标宋简体"/>
          <w:sz w:val="44"/>
          <w:szCs w:val="44"/>
          <w:lang w:val="en-US" w:eastAsia="zh-CN" w:bidi="ar"/>
        </w:rPr>
        <w:t>试行</w:t>
      </w:r>
      <w:r>
        <w:rPr>
          <w:rFonts w:hint="eastAsia" w:ascii="方正小标宋简体" w:hAnsi="方正小标宋简体" w:eastAsia="方正小标宋简体" w:cs="方正小标宋简体"/>
          <w:sz w:val="44"/>
          <w:szCs w:val="44"/>
          <w:lang w:bidi="ar"/>
        </w:rPr>
        <w:t>）</w:t>
      </w:r>
    </w:p>
    <w:p w14:paraId="6C3DD384">
      <w:pPr>
        <w:widowControl w:val="0"/>
        <w:adjustRightInd w:val="0"/>
        <w:snapToGrid w:val="0"/>
        <w:spacing w:line="580" w:lineRule="exact"/>
        <w:ind w:firstLine="640" w:firstLineChars="200"/>
        <w:jc w:val="center"/>
        <w:rPr>
          <w:rFonts w:hint="eastAsia" w:ascii="仿宋_GB2312" w:hAnsi="仿宋_GB2312" w:eastAsia="仿宋_GB2312" w:cs="仿宋_GB2312"/>
          <w:sz w:val="32"/>
          <w:szCs w:val="32"/>
        </w:rPr>
      </w:pPr>
    </w:p>
    <w:p w14:paraId="5AC3A148">
      <w:pPr>
        <w:widowControl w:val="0"/>
        <w:adjustRightInd w:val="0"/>
        <w:snapToGrid w:val="0"/>
        <w:spacing w:line="580" w:lineRule="exact"/>
        <w:ind w:firstLine="640" w:firstLineChars="200"/>
        <w:jc w:val="both"/>
        <w:rPr>
          <w:rFonts w:hint="eastAsia" w:ascii="仿宋_GB2312" w:hAnsi="仿宋_GB2312" w:eastAsia="仿宋_GB2312" w:cs="仿宋_GB2312"/>
          <w:sz w:val="32"/>
          <w:szCs w:val="32"/>
        </w:rPr>
      </w:pPr>
      <w:bookmarkStart w:id="4" w:name="_GoBack"/>
      <w:r>
        <w:rPr>
          <w:rFonts w:hint="eastAsia" w:ascii="仿宋_GB2312" w:hAnsi="仿宋_GB2312" w:eastAsia="仿宋_GB2312" w:cs="仿宋_GB2312"/>
          <w:sz w:val="32"/>
          <w:szCs w:val="32"/>
        </w:rPr>
        <w:t>为推进门头沟区房地一体宅基地地籍调查和确权登记工作，规范和指导相关工作，依据《中华人民共和国民法典》《中华人民共和国土地管理法》《不动产登记暂行条例》等法律法规，以及《北京市房地一体宅基地确权登记工作指导意见》《北京市人民政府关于落实户有所居加强农村宅基地及房屋建设管理的指导意见》</w:t>
      </w:r>
      <w:r>
        <w:rPr>
          <w:rFonts w:hint="eastAsia" w:ascii="仿宋_GB2312" w:hAnsi="仿宋_GB2312" w:eastAsia="仿宋_GB2312" w:cs="仿宋_GB2312"/>
          <w:kern w:val="2"/>
          <w:sz w:val="32"/>
          <w:szCs w:val="32"/>
        </w:rPr>
        <w:t>《</w:t>
      </w:r>
      <w:r>
        <w:rPr>
          <w:rFonts w:hint="eastAsia" w:ascii="仿宋_GB2312" w:hAnsi="仿宋_GB2312" w:eastAsia="仿宋_GB2312" w:cs="仿宋_GB2312"/>
          <w:sz w:val="32"/>
          <w:szCs w:val="32"/>
        </w:rPr>
        <w:t>门头沟区农村宅基地及建房管理办法（试行）</w:t>
      </w:r>
      <w:r>
        <w:rPr>
          <w:rFonts w:hint="eastAsia" w:ascii="仿宋_GB2312" w:hAnsi="仿宋_GB2312" w:eastAsia="仿宋_GB2312" w:cs="仿宋_GB2312"/>
          <w:kern w:val="2"/>
          <w:sz w:val="32"/>
          <w:szCs w:val="32"/>
        </w:rPr>
        <w:t>》</w:t>
      </w:r>
      <w:r>
        <w:rPr>
          <w:rFonts w:hint="eastAsia" w:ascii="仿宋_GB2312" w:hAnsi="仿宋_GB2312" w:eastAsia="仿宋_GB2312" w:cs="仿宋_GB2312"/>
          <w:sz w:val="32"/>
          <w:szCs w:val="32"/>
        </w:rPr>
        <w:t>等相关文件规定，结合实际，制定本细则。</w:t>
      </w:r>
    </w:p>
    <w:p w14:paraId="24A593A0">
      <w:pPr>
        <w:widowControl w:val="0"/>
        <w:adjustRightInd w:val="0"/>
        <w:snapToGrid w:val="0"/>
        <w:spacing w:line="580" w:lineRule="exact"/>
        <w:ind w:firstLine="640" w:firstLineChars="200"/>
        <w:jc w:val="both"/>
        <w:outlineLvl w:val="0"/>
        <w:rPr>
          <w:rFonts w:hint="eastAsia" w:ascii="黑体" w:hAnsi="黑体" w:eastAsia="黑体" w:cs="黑体"/>
          <w:sz w:val="32"/>
          <w:szCs w:val="32"/>
        </w:rPr>
      </w:pPr>
      <w:r>
        <w:rPr>
          <w:rFonts w:hint="eastAsia" w:ascii="黑体" w:hAnsi="黑体" w:eastAsia="黑体" w:cs="黑体"/>
          <w:sz w:val="32"/>
          <w:szCs w:val="32"/>
        </w:rPr>
        <w:t>一、工作目标</w:t>
      </w:r>
    </w:p>
    <w:p w14:paraId="76FAA48E">
      <w:pPr>
        <w:widowControl w:val="0"/>
        <w:adjustRightInd w:val="0"/>
        <w:snapToGrid w:val="0"/>
        <w:spacing w:line="580" w:lineRule="exact"/>
        <w:ind w:firstLine="640" w:firstLineChars="200"/>
        <w:jc w:val="both"/>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全面查清现状宅基地底数，清晰掌握已调查登记、已调查未登记、应登记未登记、不能登记等情况，形成满足确权登记需要的房地一体地籍调查成果。依法依规开展不动产登记，基本实现“应登尽登”、颁证到户。</w:t>
      </w:r>
    </w:p>
    <w:p w14:paraId="739C1B26">
      <w:pPr>
        <w:widowControl w:val="0"/>
        <w:adjustRightInd w:val="0"/>
        <w:snapToGrid w:val="0"/>
        <w:spacing w:line="580" w:lineRule="exact"/>
        <w:ind w:firstLine="640" w:firstLineChars="200"/>
        <w:jc w:val="both"/>
        <w:outlineLvl w:val="0"/>
        <w:rPr>
          <w:rFonts w:hint="eastAsia" w:ascii="黑体" w:hAnsi="黑体" w:eastAsia="黑体" w:cs="黑体"/>
          <w:sz w:val="32"/>
          <w:szCs w:val="32"/>
        </w:rPr>
      </w:pPr>
      <w:r>
        <w:rPr>
          <w:rFonts w:hint="eastAsia" w:ascii="黑体" w:hAnsi="黑体" w:eastAsia="黑体" w:cs="黑体"/>
          <w:sz w:val="32"/>
          <w:szCs w:val="32"/>
        </w:rPr>
        <w:t>二、工作原则</w:t>
      </w:r>
    </w:p>
    <w:p w14:paraId="0D709162">
      <w:pPr>
        <w:widowControl w:val="0"/>
        <w:adjustRightInd w:val="0"/>
        <w:snapToGrid w:val="0"/>
        <w:spacing w:line="580" w:lineRule="exact"/>
        <w:ind w:firstLine="640" w:firstLineChars="200"/>
        <w:jc w:val="both"/>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（一）坚持“尊重历史，兼顾现实”原则。对于历史上形成的宅基地，应尊重历史事实，妥善处理历史遗留问题。在确权登记过程中，应充分考虑现实情况，确保宅基地及其地上房屋的权利人合法权益得到保障。</w:t>
      </w:r>
    </w:p>
    <w:p w14:paraId="7B09CB0B">
      <w:pPr>
        <w:widowControl w:val="0"/>
        <w:adjustRightInd w:val="0"/>
        <w:snapToGrid w:val="0"/>
        <w:spacing w:line="580" w:lineRule="exact"/>
        <w:ind w:firstLine="640" w:firstLineChars="200"/>
        <w:jc w:val="both"/>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（二）坚持“公平公正、公开透明”原则。在确权登记过程中，应坚持公平公正的原则，确保每个宅基地及其地上房屋的权利人权益得到平等对待。宅基地确权登记的过程应公开透明，接受社会监督。</w:t>
      </w:r>
    </w:p>
    <w:p w14:paraId="3F623AF3">
      <w:pPr>
        <w:widowControl w:val="0"/>
        <w:adjustRightInd w:val="0"/>
        <w:snapToGrid w:val="0"/>
        <w:spacing w:line="580" w:lineRule="exact"/>
        <w:ind w:firstLine="640" w:firstLineChars="200"/>
        <w:jc w:val="both"/>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（三）坚持“依法依规，实事求是”原则。针对宅基地实际使用状况及相关材料实事求是开展地籍调查，依法依规确权登记，确保成果真实准确。严禁通过不动产登记将违法用地或违法建设合法化。</w:t>
      </w:r>
    </w:p>
    <w:p w14:paraId="2E677B79">
      <w:pPr>
        <w:widowControl w:val="0"/>
        <w:adjustRightInd w:val="0"/>
        <w:snapToGrid w:val="0"/>
        <w:spacing w:line="580" w:lineRule="exact"/>
        <w:ind w:firstLine="640" w:firstLineChars="200"/>
        <w:jc w:val="both"/>
        <w:outlineLvl w:val="0"/>
        <w:rPr>
          <w:rFonts w:hint="eastAsia" w:ascii="黑体" w:hAnsi="黑体" w:eastAsia="黑体" w:cs="黑体"/>
          <w:sz w:val="32"/>
          <w:szCs w:val="32"/>
        </w:rPr>
      </w:pPr>
      <w:r>
        <w:rPr>
          <w:rFonts w:hint="eastAsia" w:ascii="黑体" w:hAnsi="黑体" w:eastAsia="黑体" w:cs="黑体"/>
          <w:sz w:val="32"/>
          <w:szCs w:val="32"/>
        </w:rPr>
        <w:t>三、工作程序</w:t>
      </w:r>
    </w:p>
    <w:p w14:paraId="2549E60A">
      <w:pPr>
        <w:suppressAutoHyphens/>
        <w:spacing w:line="580" w:lineRule="exact"/>
        <w:ind w:firstLine="640" w:firstLineChars="200"/>
        <w:jc w:val="both"/>
        <w:rPr>
          <w:rFonts w:hint="eastAsia" w:ascii="楷体_GB2312" w:hAnsi="楷体_GB2312" w:eastAsia="楷体_GB2312" w:cs="楷体_GB2312"/>
          <w:color w:val="333333"/>
          <w:kern w:val="2"/>
          <w:sz w:val="32"/>
          <w:szCs w:val="32"/>
          <w:shd w:val="clear" w:color="auto" w:fill="FFFFFF"/>
        </w:rPr>
      </w:pPr>
      <w:r>
        <w:rPr>
          <w:rFonts w:hint="eastAsia" w:ascii="楷体_GB2312" w:hAnsi="楷体_GB2312" w:eastAsia="楷体_GB2312" w:cs="楷体_GB2312"/>
          <w:color w:val="333333"/>
          <w:kern w:val="2"/>
          <w:sz w:val="32"/>
          <w:szCs w:val="32"/>
          <w:shd w:val="clear" w:color="auto" w:fill="FFFFFF"/>
        </w:rPr>
        <w:t>（一）发布通告。</w:t>
      </w:r>
    </w:p>
    <w:p w14:paraId="0E50C18B">
      <w:pPr>
        <w:suppressAutoHyphens/>
        <w:spacing w:line="580" w:lineRule="exact"/>
        <w:ind w:firstLine="640" w:firstLineChars="200"/>
        <w:jc w:val="both"/>
        <w:rPr>
          <w:rFonts w:hint="eastAsia" w:ascii="仿宋_GB2312" w:hAnsi="仿宋_GB2312" w:eastAsia="仿宋_GB2312" w:cs="仿宋_GB2312"/>
          <w:kern w:val="2"/>
          <w:sz w:val="32"/>
          <w:szCs w:val="32"/>
        </w:rPr>
      </w:pPr>
      <w:r>
        <w:rPr>
          <w:rFonts w:hint="eastAsia" w:ascii="仿宋_GB2312" w:hAnsi="宋体" w:eastAsia="仿宋_GB2312" w:cs="宋体"/>
          <w:color w:val="333333"/>
          <w:kern w:val="2"/>
          <w:sz w:val="32"/>
          <w:szCs w:val="32"/>
          <w:shd w:val="clear" w:color="auto" w:fill="FFFFFF"/>
        </w:rPr>
        <w:t>通告</w:t>
      </w:r>
      <w:r>
        <w:rPr>
          <w:rFonts w:hint="eastAsia" w:ascii="仿宋_GB2312" w:hAnsi="仿宋_GB2312" w:eastAsia="仿宋_GB2312" w:cs="仿宋_GB2312"/>
          <w:kern w:val="2"/>
          <w:sz w:val="32"/>
          <w:szCs w:val="32"/>
        </w:rPr>
        <w:t>的内容、发布范围以及发布方式经区政府批准后，以</w:t>
      </w:r>
      <w:r>
        <w:rPr>
          <w:rFonts w:hint="eastAsia" w:ascii="仿宋_GB2312" w:hAnsi="仿宋_GB2312" w:eastAsia="仿宋_GB2312" w:cs="仿宋_GB2312"/>
          <w:kern w:val="2"/>
          <w:sz w:val="32"/>
          <w:szCs w:val="32"/>
          <w:lang w:val="en-US" w:eastAsia="zh-CN"/>
        </w:rPr>
        <w:t>规自分局</w:t>
      </w:r>
      <w:r>
        <w:rPr>
          <w:rFonts w:hint="eastAsia" w:ascii="仿宋_GB2312" w:hAnsi="仿宋_GB2312" w:eastAsia="仿宋_GB2312" w:cs="仿宋_GB2312"/>
          <w:kern w:val="2"/>
          <w:sz w:val="32"/>
          <w:szCs w:val="32"/>
        </w:rPr>
        <w:t>名义发布。主要内容包括房地一体宅基地使用权确权登记的范围、期限、地点、需要提交的材料和其他相关事项。通告在镇、村张贴，并在</w:t>
      </w:r>
      <w:r>
        <w:rPr>
          <w:rFonts w:hint="eastAsia" w:ascii="仿宋_GB2312" w:hAnsi="仿宋_GB2312" w:eastAsia="仿宋_GB2312" w:cs="仿宋_GB2312"/>
          <w:kern w:val="2"/>
          <w:sz w:val="32"/>
          <w:szCs w:val="32"/>
          <w:lang w:val="en-US" w:eastAsia="zh-CN"/>
        </w:rPr>
        <w:t>首都之窗</w:t>
      </w:r>
      <w:r>
        <w:rPr>
          <w:rFonts w:hint="eastAsia" w:ascii="仿宋_GB2312" w:hAnsi="仿宋_GB2312" w:eastAsia="仿宋_GB2312" w:cs="仿宋_GB2312"/>
          <w:kern w:val="2"/>
          <w:sz w:val="32"/>
          <w:szCs w:val="32"/>
        </w:rPr>
        <w:t>网站发布。</w:t>
      </w:r>
    </w:p>
    <w:p w14:paraId="4F386BB1">
      <w:pPr>
        <w:suppressAutoHyphens/>
        <w:spacing w:line="580" w:lineRule="exact"/>
        <w:ind w:firstLine="640" w:firstLineChars="200"/>
        <w:jc w:val="both"/>
        <w:rPr>
          <w:rFonts w:hint="eastAsia" w:ascii="楷体_GB2312" w:hAnsi="楷体_GB2312" w:eastAsia="楷体_GB2312" w:cs="楷体_GB2312"/>
          <w:color w:val="333333"/>
          <w:kern w:val="2"/>
          <w:sz w:val="32"/>
          <w:szCs w:val="32"/>
          <w:shd w:val="clear" w:color="auto" w:fill="FFFFFF"/>
        </w:rPr>
      </w:pPr>
      <w:r>
        <w:rPr>
          <w:rFonts w:hint="eastAsia" w:ascii="楷体_GB2312" w:hAnsi="楷体_GB2312" w:eastAsia="楷体_GB2312" w:cs="楷体_GB2312"/>
          <w:color w:val="333333"/>
          <w:kern w:val="2"/>
          <w:sz w:val="32"/>
          <w:szCs w:val="32"/>
          <w:shd w:val="clear" w:color="auto" w:fill="FFFFFF"/>
        </w:rPr>
        <w:t>（二）地籍调查。</w:t>
      </w:r>
    </w:p>
    <w:p w14:paraId="67848B30">
      <w:pPr>
        <w:suppressAutoHyphens/>
        <w:spacing w:line="580" w:lineRule="exact"/>
        <w:ind w:firstLine="640" w:firstLineChars="200"/>
        <w:jc w:val="both"/>
        <w:rPr>
          <w:rFonts w:hint="eastAsia" w:ascii="仿宋_GB2312" w:hAnsi="仿宋_GB2312" w:eastAsia="仿宋_GB2312" w:cs="仿宋_GB2312"/>
          <w:kern w:val="2"/>
          <w:sz w:val="32"/>
          <w:szCs w:val="32"/>
        </w:rPr>
      </w:pPr>
      <w:r>
        <w:rPr>
          <w:rFonts w:hint="eastAsia" w:ascii="仿宋_GB2312" w:hAnsi="仿宋_GB2312" w:eastAsia="仿宋_GB2312" w:cs="仿宋_GB2312"/>
          <w:kern w:val="2"/>
          <w:sz w:val="32"/>
          <w:szCs w:val="32"/>
        </w:rPr>
        <w:t>依据《地籍调查规程》《北京市农村不动产地籍调查技术指引（试行）》等相关规定开展辖区内房地一体宅基地地籍总调查，形成满足确权登记需要的地籍调查成果。调查时，农村集体经济组织或村民委员会应组织村民提交相关材料。</w:t>
      </w:r>
    </w:p>
    <w:p w14:paraId="11F65070">
      <w:pPr>
        <w:suppressAutoHyphens/>
        <w:spacing w:line="580" w:lineRule="exact"/>
        <w:ind w:firstLine="640" w:firstLineChars="200"/>
        <w:jc w:val="both"/>
        <w:rPr>
          <w:rFonts w:hint="eastAsia" w:ascii="仿宋_GB2312" w:hAnsi="仿宋_GB2312" w:eastAsia="仿宋_GB2312" w:cs="仿宋_GB2312"/>
          <w:kern w:val="2"/>
          <w:sz w:val="32"/>
          <w:szCs w:val="32"/>
        </w:rPr>
      </w:pPr>
      <w:r>
        <w:rPr>
          <w:rFonts w:hint="eastAsia" w:ascii="仿宋_GB2312" w:hAnsi="仿宋_GB2312" w:eastAsia="仿宋_GB2312" w:cs="仿宋_GB2312"/>
          <w:kern w:val="2"/>
          <w:sz w:val="32"/>
          <w:szCs w:val="32"/>
        </w:rPr>
        <w:t>（三）村镇两级确认。</w:t>
      </w:r>
    </w:p>
    <w:p w14:paraId="06AB2EF5">
      <w:pPr>
        <w:suppressAutoHyphens/>
        <w:spacing w:line="580" w:lineRule="exact"/>
        <w:ind w:firstLine="640" w:firstLineChars="200"/>
        <w:jc w:val="both"/>
        <w:rPr>
          <w:rFonts w:hint="eastAsia" w:ascii="仿宋_GB2312" w:hAnsi="仿宋_GB2312" w:eastAsia="仿宋_GB2312" w:cs="仿宋_GB2312"/>
          <w:kern w:val="2"/>
          <w:sz w:val="32"/>
          <w:szCs w:val="32"/>
        </w:rPr>
      </w:pPr>
      <w:r>
        <w:rPr>
          <w:rFonts w:hint="eastAsia" w:ascii="仿宋_GB2312" w:hAnsi="仿宋_GB2312" w:eastAsia="仿宋_GB2312" w:cs="仿宋_GB2312"/>
          <w:kern w:val="2"/>
          <w:sz w:val="32"/>
          <w:szCs w:val="32"/>
        </w:rPr>
        <w:t>农村集体经济组织或村民委员会对每户宅基地使用权人、面积、家庭成员情况、四至、坐落以及地上房屋基本信息等情况核实后进行公示，公示期为30天</w:t>
      </w:r>
      <w:r>
        <w:rPr>
          <w:rFonts w:hint="eastAsia" w:ascii="仿宋_GB2312" w:hAnsi="仿宋_GB2312" w:eastAsia="仿宋_GB2312" w:cs="仿宋_GB2312"/>
          <w:kern w:val="2"/>
          <w:sz w:val="32"/>
          <w:szCs w:val="32"/>
          <w:lang w:val="en"/>
        </w:rPr>
        <w:t>,公</w:t>
      </w:r>
      <w:r>
        <w:rPr>
          <w:rFonts w:hint="eastAsia" w:ascii="仿宋_GB2312" w:hAnsi="仿宋_GB2312" w:eastAsia="仿宋_GB2312" w:cs="仿宋_GB2312"/>
          <w:kern w:val="2"/>
          <w:sz w:val="32"/>
          <w:szCs w:val="32"/>
        </w:rPr>
        <w:t>示无异议或异议不成立的，</w:t>
      </w:r>
      <w:r>
        <w:rPr>
          <w:rFonts w:hint="eastAsia" w:ascii="仿宋_GB2312" w:hAnsi="仿宋_GB2312" w:eastAsia="仿宋_GB2312" w:cs="仿宋_GB2312"/>
          <w:sz w:val="32"/>
          <w:szCs w:val="32"/>
        </w:rPr>
        <w:t>村集体应对无权属来源材料的宅基地出具</w:t>
      </w:r>
      <w:r>
        <w:rPr>
          <w:rFonts w:hint="eastAsia" w:ascii="仿宋_GB2312" w:hAnsi="宋体" w:eastAsia="仿宋_GB2312" w:cs="仿宋_GB2312"/>
          <w:sz w:val="32"/>
          <w:szCs w:val="32"/>
          <w:lang w:bidi="ar"/>
        </w:rPr>
        <w:t>《房屋土地权属来源情况核实证明》进行确认，报</w:t>
      </w:r>
      <w:r>
        <w:rPr>
          <w:rFonts w:hint="eastAsia" w:ascii="仿宋_GB2312" w:hAnsi="仿宋_GB2312" w:eastAsia="仿宋_GB2312" w:cs="仿宋_GB2312"/>
          <w:sz w:val="32"/>
          <w:szCs w:val="32"/>
        </w:rPr>
        <w:t>镇政府认定。</w:t>
      </w:r>
      <w:r>
        <w:rPr>
          <w:rFonts w:hint="eastAsia" w:ascii="仿宋_GB2312" w:hAnsi="仿宋_GB2312" w:eastAsia="仿宋_GB2312" w:cs="仿宋_GB2312"/>
          <w:sz w:val="32"/>
          <w:szCs w:val="32"/>
          <w:lang w:val="en-US" w:eastAsia="zh-CN"/>
        </w:rPr>
        <w:t>同时，</w:t>
      </w:r>
      <w:r>
        <w:rPr>
          <w:rFonts w:hint="eastAsia" w:ascii="仿宋_GB2312" w:hAnsi="仿宋_GB2312" w:eastAsia="仿宋_GB2312" w:cs="仿宋_GB2312"/>
          <w:sz w:val="32"/>
          <w:szCs w:val="32"/>
        </w:rPr>
        <w:t>村集体出具</w:t>
      </w:r>
      <w:r>
        <w:rPr>
          <w:rFonts w:hint="eastAsia" w:ascii="仿宋_GB2312" w:hAnsi="宋体" w:eastAsia="仿宋_GB2312" w:cs="仿宋_GB2312"/>
          <w:sz w:val="32"/>
          <w:szCs w:val="32"/>
          <w:lang w:bidi="ar"/>
        </w:rPr>
        <w:t>《</w:t>
      </w:r>
      <w:r>
        <w:rPr>
          <w:rFonts w:hint="eastAsia" w:ascii="仿宋_GB2312" w:hAnsi="仿宋_GB2312" w:eastAsia="仿宋_GB2312" w:cs="仿宋_GB2312"/>
          <w:kern w:val="2"/>
          <w:sz w:val="32"/>
          <w:szCs w:val="32"/>
        </w:rPr>
        <w:t>房地一体宅基地确权审核表》，</w:t>
      </w:r>
      <w:r>
        <w:rPr>
          <w:rFonts w:hint="eastAsia" w:ascii="仿宋_GB2312" w:hAnsi="仿宋_GB2312" w:eastAsia="仿宋_GB2312" w:cs="仿宋_GB2312"/>
          <w:sz w:val="32"/>
          <w:szCs w:val="32"/>
        </w:rPr>
        <w:t>镇政府</w:t>
      </w:r>
      <w:r>
        <w:rPr>
          <w:rFonts w:hint="eastAsia" w:ascii="仿宋_GB2312" w:hAnsi="仿宋_GB2312" w:eastAsia="仿宋_GB2312" w:cs="仿宋_GB2312"/>
          <w:sz w:val="32"/>
          <w:szCs w:val="32"/>
          <w:lang w:val="en-US" w:eastAsia="zh-CN"/>
        </w:rPr>
        <w:t>对土地权属来源、是否符合规划或建设等材料</w:t>
      </w:r>
      <w:r>
        <w:rPr>
          <w:rFonts w:hint="eastAsia" w:ascii="仿宋_GB2312" w:hAnsi="仿宋_GB2312" w:eastAsia="仿宋_GB2312" w:cs="仿宋_GB2312"/>
          <w:sz w:val="32"/>
          <w:szCs w:val="32"/>
        </w:rPr>
        <w:t>审核</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zh-CN"/>
        </w:rPr>
        <w:t>属于合法使用</w:t>
      </w:r>
      <w:r>
        <w:rPr>
          <w:rFonts w:hint="eastAsia" w:ascii="仿宋_GB2312" w:hAnsi="仿宋_GB2312" w:eastAsia="仿宋_GB2312" w:cs="仿宋_GB2312"/>
          <w:sz w:val="32"/>
          <w:szCs w:val="32"/>
        </w:rPr>
        <w:t>的，出具审核意见。</w:t>
      </w:r>
    </w:p>
    <w:p w14:paraId="1EEAB819">
      <w:pPr>
        <w:suppressAutoHyphens/>
        <w:spacing w:line="580" w:lineRule="exact"/>
        <w:ind w:firstLine="640" w:firstLineChars="200"/>
        <w:jc w:val="both"/>
        <w:rPr>
          <w:rFonts w:hint="eastAsia" w:ascii="楷体_GB2312" w:hAnsi="楷体_GB2312" w:eastAsia="楷体_GB2312" w:cs="楷体_GB2312"/>
          <w:color w:val="333333"/>
          <w:kern w:val="2"/>
          <w:sz w:val="32"/>
          <w:szCs w:val="32"/>
          <w:shd w:val="clear" w:color="auto" w:fill="FFFFFF"/>
          <w:lang w:bidi="ar"/>
        </w:rPr>
      </w:pPr>
      <w:r>
        <w:rPr>
          <w:rFonts w:hint="eastAsia" w:ascii="楷体_GB2312" w:hAnsi="楷体_GB2312" w:eastAsia="楷体_GB2312" w:cs="楷体_GB2312"/>
          <w:color w:val="333333"/>
          <w:kern w:val="2"/>
          <w:sz w:val="32"/>
          <w:szCs w:val="32"/>
          <w:shd w:val="clear" w:color="auto" w:fill="FFFFFF"/>
          <w:lang w:bidi="ar"/>
        </w:rPr>
        <w:t>（四）完善门牌信息。</w:t>
      </w:r>
    </w:p>
    <w:p w14:paraId="6B6C560A">
      <w:pPr>
        <w:suppressAutoHyphens/>
        <w:spacing w:line="580" w:lineRule="exact"/>
        <w:ind w:firstLine="640" w:firstLineChars="200"/>
        <w:jc w:val="both"/>
        <w:rPr>
          <w:rFonts w:hint="eastAsia" w:ascii="仿宋_GB2312" w:hAnsi="仿宋_GB2312" w:eastAsia="仿宋_GB2312" w:cs="仿宋_GB2312"/>
          <w:kern w:val="2"/>
          <w:sz w:val="32"/>
          <w:szCs w:val="32"/>
        </w:rPr>
      </w:pPr>
      <w:r>
        <w:rPr>
          <w:rFonts w:hint="eastAsia" w:ascii="仿宋_GB2312" w:hAnsi="仿宋_GB2312" w:eastAsia="仿宋_GB2312" w:cs="仿宋_GB2312"/>
          <w:kern w:val="2"/>
          <w:sz w:val="32"/>
          <w:szCs w:val="32"/>
        </w:rPr>
        <w:t>公安机关应按照“一宗宅基地一个门牌”原则编制宅基地门牌号。已编制完成的，由农村集体经济组织或村民委员会统一向不动产登记机构提供公安机关</w:t>
      </w:r>
      <w:r>
        <w:rPr>
          <w:rFonts w:hint="eastAsia" w:ascii="仿宋_GB2312" w:hAnsi="仿宋_GB2312" w:eastAsia="仿宋_GB2312" w:cs="仿宋_GB2312"/>
          <w:b w:val="0"/>
          <w:bCs w:val="0"/>
          <w:kern w:val="2"/>
          <w:sz w:val="32"/>
          <w:szCs w:val="32"/>
        </w:rPr>
        <w:t>核实门牌调查结果</w:t>
      </w:r>
      <w:r>
        <w:rPr>
          <w:rFonts w:hint="eastAsia" w:ascii="仿宋_GB2312" w:hAnsi="仿宋_GB2312" w:eastAsia="仿宋_GB2312" w:cs="仿宋_GB2312"/>
          <w:kern w:val="2"/>
          <w:sz w:val="32"/>
          <w:szCs w:val="32"/>
        </w:rPr>
        <w:t>。尚未编制的，完成村、镇两级确认后，由农村集体经济组织或村民委员会统一向公安机关申请编制门牌。</w:t>
      </w:r>
    </w:p>
    <w:p w14:paraId="2E05AE99">
      <w:pPr>
        <w:suppressAutoHyphens/>
        <w:spacing w:line="580" w:lineRule="exact"/>
        <w:ind w:firstLine="640" w:firstLineChars="200"/>
        <w:jc w:val="both"/>
        <w:rPr>
          <w:rFonts w:hint="eastAsia" w:ascii="楷体_GB2312" w:hAnsi="楷体_GB2312" w:eastAsia="楷体_GB2312" w:cs="楷体_GB2312"/>
          <w:color w:val="333333"/>
          <w:kern w:val="2"/>
          <w:sz w:val="32"/>
          <w:szCs w:val="32"/>
          <w:shd w:val="clear" w:color="auto" w:fill="FFFFFF"/>
          <w:lang w:bidi="ar"/>
        </w:rPr>
      </w:pPr>
      <w:r>
        <w:rPr>
          <w:rFonts w:hint="eastAsia" w:ascii="楷体_GB2312" w:hAnsi="楷体_GB2312" w:eastAsia="楷体_GB2312" w:cs="楷体_GB2312"/>
          <w:color w:val="333333"/>
          <w:kern w:val="2"/>
          <w:sz w:val="32"/>
          <w:szCs w:val="32"/>
          <w:shd w:val="clear" w:color="auto" w:fill="FFFFFF"/>
          <w:lang w:bidi="ar"/>
        </w:rPr>
        <w:t>（五）不动产登记。</w:t>
      </w:r>
    </w:p>
    <w:p w14:paraId="7934B074">
      <w:pPr>
        <w:widowControl w:val="0"/>
        <w:adjustRightInd w:val="0"/>
        <w:snapToGrid w:val="0"/>
        <w:spacing w:line="580" w:lineRule="exact"/>
        <w:ind w:firstLine="643" w:firstLineChars="200"/>
        <w:jc w:val="both"/>
        <w:rPr>
          <w:rFonts w:hint="eastAsia" w:ascii="仿宋_GB2312" w:hAnsi="仿宋_GB2312" w:eastAsia="仿宋_GB2312" w:cs="仿宋_GB2312"/>
          <w:kern w:val="2"/>
          <w:sz w:val="32"/>
          <w:szCs w:val="32"/>
        </w:rPr>
      </w:pPr>
      <w:r>
        <w:rPr>
          <w:rFonts w:hint="eastAsia" w:ascii="仿宋_GB2312" w:hAnsi="仿宋_GB2312" w:eastAsia="仿宋_GB2312" w:cs="仿宋_GB2312"/>
          <w:b/>
          <w:bCs/>
          <w:kern w:val="2"/>
          <w:sz w:val="32"/>
          <w:szCs w:val="32"/>
        </w:rPr>
        <w:t>1.申请。</w:t>
      </w:r>
      <w:r>
        <w:rPr>
          <w:rFonts w:hint="eastAsia" w:ascii="仿宋_GB2312" w:hAnsi="仿宋_GB2312" w:eastAsia="仿宋_GB2312" w:cs="仿宋_GB2312"/>
          <w:kern w:val="2"/>
          <w:sz w:val="32"/>
          <w:szCs w:val="32"/>
        </w:rPr>
        <w:t>不动产登记机构应会同农村集体经济组织或村民委员会共同组织群众以行政村为单位，按照本细则有关要求批量申请不动产登记。</w:t>
      </w:r>
    </w:p>
    <w:p w14:paraId="34C7ED57">
      <w:pPr>
        <w:widowControl w:val="0"/>
        <w:adjustRightInd w:val="0"/>
        <w:snapToGrid w:val="0"/>
        <w:spacing w:line="580" w:lineRule="exact"/>
        <w:ind w:firstLine="640" w:firstLineChars="200"/>
        <w:jc w:val="both"/>
        <w:rPr>
          <w:rFonts w:hint="eastAsia" w:ascii="仿宋_GB2312" w:hAnsi="仿宋_GB2312" w:eastAsia="仿宋_GB2312" w:cs="仿宋_GB2312"/>
          <w:kern w:val="2"/>
          <w:sz w:val="32"/>
          <w:szCs w:val="32"/>
        </w:rPr>
      </w:pPr>
      <w:r>
        <w:rPr>
          <w:rFonts w:hint="eastAsia" w:ascii="仿宋_GB2312" w:hAnsi="仿宋_GB2312" w:eastAsia="仿宋_GB2312" w:cs="仿宋_GB2312"/>
          <w:kern w:val="2"/>
          <w:sz w:val="32"/>
          <w:szCs w:val="32"/>
        </w:rPr>
        <w:t>（1）申请登记的权利类型和登记类型</w:t>
      </w:r>
    </w:p>
    <w:p w14:paraId="0EAAFFB9">
      <w:pPr>
        <w:widowControl w:val="0"/>
        <w:adjustRightInd w:val="0"/>
        <w:snapToGrid w:val="0"/>
        <w:spacing w:line="580" w:lineRule="exact"/>
        <w:ind w:firstLine="640" w:firstLineChars="200"/>
        <w:jc w:val="both"/>
        <w:rPr>
          <w:rFonts w:hint="eastAsia" w:ascii="仿宋_GB2312" w:hAnsi="仿宋_GB2312" w:eastAsia="仿宋_GB2312" w:cs="仿宋_GB2312"/>
          <w:kern w:val="2"/>
          <w:sz w:val="32"/>
          <w:szCs w:val="32"/>
        </w:rPr>
      </w:pPr>
      <w:r>
        <w:rPr>
          <w:rFonts w:hint="eastAsia" w:ascii="仿宋_GB2312" w:hAnsi="仿宋_GB2312" w:eastAsia="仿宋_GB2312" w:cs="仿宋_GB2312"/>
          <w:kern w:val="2"/>
          <w:sz w:val="32"/>
          <w:szCs w:val="32"/>
        </w:rPr>
        <w:t>依法取得宅基地使用权的，可以单独申请宅基地使用权首次登记。依法利用宅基地建造住房及其附属设施的，可以申请宅基地使用权及房屋所有权首次登记。其他情形，可依据《不动产登记暂行条例》及其实施细则、《北京市不动产登记工作规范》等有关规定明确登记类型。</w:t>
      </w:r>
    </w:p>
    <w:p w14:paraId="6C7FA867">
      <w:pPr>
        <w:widowControl w:val="0"/>
        <w:adjustRightInd w:val="0"/>
        <w:snapToGrid w:val="0"/>
        <w:spacing w:line="580" w:lineRule="exact"/>
        <w:ind w:firstLine="640" w:firstLineChars="200"/>
        <w:jc w:val="both"/>
        <w:rPr>
          <w:rFonts w:hint="eastAsia" w:ascii="仿宋_GB2312" w:hAnsi="仿宋_GB2312" w:eastAsia="仿宋_GB2312" w:cs="仿宋_GB2312"/>
          <w:kern w:val="2"/>
          <w:sz w:val="32"/>
          <w:szCs w:val="32"/>
        </w:rPr>
      </w:pPr>
      <w:r>
        <w:rPr>
          <w:rFonts w:hint="eastAsia" w:ascii="仿宋_GB2312" w:hAnsi="仿宋_GB2312" w:eastAsia="仿宋_GB2312" w:cs="仿宋_GB2312"/>
          <w:kern w:val="2"/>
          <w:sz w:val="32"/>
          <w:szCs w:val="32"/>
        </w:rPr>
        <w:t>（2）申请主体</w:t>
      </w:r>
    </w:p>
    <w:p w14:paraId="386B8E9C">
      <w:pPr>
        <w:widowControl w:val="0"/>
        <w:adjustRightInd w:val="0"/>
        <w:snapToGrid w:val="0"/>
        <w:spacing w:line="580" w:lineRule="exact"/>
        <w:ind w:firstLine="640" w:firstLineChars="200"/>
        <w:jc w:val="both"/>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宅基地使用权登记原则上按户申请，各户原则上应当在户成员中确定一名家庭成员代表记载于不动产权证“权利人栏”，其他家庭成员记载于不动产权证“权利其他状况栏”。该名家庭成员代表</w:t>
      </w:r>
      <w:r>
        <w:rPr>
          <w:rFonts w:ascii="仿宋_GB2312" w:hAnsi="仿宋_GB2312" w:eastAsia="仿宋_GB2312" w:cs="仿宋_GB2312"/>
          <w:kern w:val="2"/>
          <w:sz w:val="32"/>
          <w:szCs w:val="32"/>
        </w:rPr>
        <w:t>原则</w:t>
      </w:r>
      <w:r>
        <w:rPr>
          <w:rFonts w:hint="eastAsia" w:ascii="仿宋_GB2312" w:hAnsi="仿宋_GB2312" w:eastAsia="仿宋_GB2312" w:cs="仿宋_GB2312"/>
          <w:kern w:val="2"/>
          <w:sz w:val="32"/>
          <w:szCs w:val="32"/>
        </w:rPr>
        <w:t>上</w:t>
      </w:r>
      <w:r>
        <w:rPr>
          <w:rFonts w:ascii="仿宋_GB2312" w:hAnsi="仿宋_GB2312" w:eastAsia="仿宋_GB2312" w:cs="仿宋_GB2312"/>
          <w:color w:val="000000"/>
          <w:sz w:val="31"/>
          <w:szCs w:val="31"/>
        </w:rPr>
        <w:t>应为农村集体经济组织成员，可以是户主、用地批准文件等权属来源材料记载的权利人或经全体家庭成员同意的其他家庭成员。</w:t>
      </w:r>
    </w:p>
    <w:p w14:paraId="4B911A0E">
      <w:pPr>
        <w:widowControl w:val="0"/>
        <w:adjustRightInd w:val="0"/>
        <w:snapToGrid w:val="0"/>
        <w:spacing w:line="580" w:lineRule="exact"/>
        <w:ind w:firstLine="640" w:firstLineChars="200"/>
        <w:jc w:val="both"/>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因依法继承等原因取得房屋所有权，继而占用宅基地，取得宅基地使用权的，由继承人进行申请。继承人无法到场的，可以委托他人代为申请不动产登记。</w:t>
      </w:r>
    </w:p>
    <w:p w14:paraId="488F4E4F">
      <w:pPr>
        <w:widowControl w:val="0"/>
        <w:adjustRightInd w:val="0"/>
        <w:snapToGrid w:val="0"/>
        <w:spacing w:line="580" w:lineRule="exact"/>
        <w:ind w:firstLine="640" w:firstLineChars="200"/>
        <w:jc w:val="both"/>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非本农村集体经济组织成员申请确权登记，应按照本细则妥善处理疑难问题的相关要求执行。</w:t>
      </w:r>
    </w:p>
    <w:p w14:paraId="2152859C">
      <w:pPr>
        <w:widowControl w:val="0"/>
        <w:adjustRightInd w:val="0"/>
        <w:snapToGrid w:val="0"/>
        <w:spacing w:line="580" w:lineRule="exact"/>
        <w:ind w:firstLine="640" w:firstLineChars="200"/>
        <w:jc w:val="both"/>
        <w:rPr>
          <w:rFonts w:hint="eastAsia" w:ascii="仿宋_GB2312" w:hAnsi="仿宋_GB2312" w:eastAsia="仿宋_GB2312" w:cs="仿宋_GB2312"/>
          <w:kern w:val="2"/>
          <w:sz w:val="32"/>
          <w:szCs w:val="32"/>
        </w:rPr>
      </w:pPr>
      <w:r>
        <w:rPr>
          <w:rFonts w:hint="eastAsia" w:ascii="仿宋_GB2312" w:hAnsi="仿宋_GB2312" w:eastAsia="仿宋_GB2312" w:cs="仿宋_GB2312"/>
          <w:kern w:val="2"/>
          <w:sz w:val="32"/>
          <w:szCs w:val="32"/>
        </w:rPr>
        <w:t>（3）申请材料</w:t>
      </w:r>
    </w:p>
    <w:p w14:paraId="0C05E741">
      <w:pPr>
        <w:widowControl w:val="0"/>
        <w:adjustRightInd w:val="0"/>
        <w:snapToGrid w:val="0"/>
        <w:spacing w:line="580" w:lineRule="exact"/>
        <w:ind w:firstLine="640" w:firstLineChars="200"/>
        <w:jc w:val="both"/>
        <w:rPr>
          <w:rFonts w:hint="eastAsia" w:ascii="仿宋_GB2312" w:hAnsi="仿宋_GB2312" w:eastAsia="仿宋_GB2312" w:cs="仿宋_GB2312"/>
          <w:kern w:val="2"/>
          <w:sz w:val="32"/>
          <w:szCs w:val="32"/>
        </w:rPr>
      </w:pPr>
      <w:r>
        <w:rPr>
          <w:rFonts w:hint="eastAsia" w:ascii="仿宋_GB2312" w:hAnsi="仿宋_GB2312" w:eastAsia="仿宋_GB2312" w:cs="仿宋_GB2312"/>
          <w:kern w:val="2"/>
          <w:sz w:val="32"/>
          <w:szCs w:val="32"/>
        </w:rPr>
        <w:t>应当根据不同情况，提交下列材料：</w:t>
      </w:r>
    </w:p>
    <w:p w14:paraId="007E714C">
      <w:pPr>
        <w:widowControl w:val="0"/>
        <w:adjustRightInd w:val="0"/>
        <w:snapToGrid w:val="0"/>
        <w:spacing w:line="580" w:lineRule="exact"/>
        <w:ind w:firstLine="640" w:firstLineChars="200"/>
        <w:jc w:val="both"/>
        <w:rPr>
          <w:rFonts w:hint="eastAsia" w:ascii="仿宋_GB2312" w:hAnsi="仿宋_GB2312" w:eastAsia="仿宋_GB2312" w:cs="仿宋_GB2312"/>
          <w:kern w:val="2"/>
          <w:sz w:val="32"/>
          <w:szCs w:val="32"/>
        </w:rPr>
      </w:pPr>
      <w:r>
        <w:rPr>
          <w:rFonts w:hint="eastAsia" w:ascii="仿宋_GB2312" w:hAnsi="仿宋_GB2312" w:eastAsia="仿宋_GB2312" w:cs="仿宋_GB2312"/>
          <w:kern w:val="2"/>
          <w:sz w:val="32"/>
          <w:szCs w:val="32"/>
        </w:rPr>
        <w:t>①不动产登记申请书。</w:t>
      </w:r>
    </w:p>
    <w:p w14:paraId="18BF8238">
      <w:pPr>
        <w:widowControl w:val="0"/>
        <w:adjustRightInd w:val="0"/>
        <w:snapToGrid w:val="0"/>
        <w:spacing w:line="580" w:lineRule="exact"/>
        <w:ind w:firstLine="640" w:firstLineChars="200"/>
        <w:jc w:val="both"/>
        <w:rPr>
          <w:rFonts w:hint="eastAsia" w:ascii="仿宋_GB2312" w:hAnsi="仿宋_GB2312" w:eastAsia="仿宋_GB2312" w:cs="仿宋_GB2312"/>
          <w:kern w:val="2"/>
          <w:sz w:val="32"/>
          <w:szCs w:val="32"/>
        </w:rPr>
      </w:pPr>
      <w:r>
        <w:rPr>
          <w:rFonts w:hint="eastAsia" w:ascii="仿宋_GB2312" w:hAnsi="仿宋_GB2312" w:eastAsia="仿宋_GB2312" w:cs="仿宋_GB2312"/>
          <w:kern w:val="2"/>
          <w:sz w:val="32"/>
          <w:szCs w:val="32"/>
        </w:rPr>
        <w:t>②申请人身份证件。按户取得宅基地使用权的，应同时提交户口簿、依法具有宅基地使用权及房屋所有权的全部家庭成</w:t>
      </w:r>
    </w:p>
    <w:p w14:paraId="0338CBA7">
      <w:pPr>
        <w:widowControl w:val="0"/>
        <w:adjustRightInd w:val="0"/>
        <w:snapToGrid w:val="0"/>
        <w:spacing w:line="580" w:lineRule="exact"/>
        <w:jc w:val="both"/>
        <w:rPr>
          <w:rFonts w:hint="eastAsia" w:ascii="仿宋_GB2312" w:hAnsi="仿宋_GB2312" w:eastAsia="仿宋_GB2312" w:cs="仿宋_GB2312"/>
          <w:kern w:val="2"/>
          <w:sz w:val="32"/>
          <w:szCs w:val="32"/>
        </w:rPr>
      </w:pPr>
      <w:r>
        <w:rPr>
          <w:rFonts w:hint="eastAsia" w:ascii="仿宋_GB2312" w:hAnsi="仿宋_GB2312" w:eastAsia="仿宋_GB2312" w:cs="仿宋_GB2312"/>
          <w:kern w:val="2"/>
          <w:sz w:val="32"/>
          <w:szCs w:val="32"/>
        </w:rPr>
        <w:t>员的身份证件；由家庭代表申请登记的，还应提交全部家庭成员同意其申请登记的书面材料。</w:t>
      </w:r>
    </w:p>
    <w:p w14:paraId="5248EEA2">
      <w:pPr>
        <w:widowControl w:val="0"/>
        <w:adjustRightInd w:val="0"/>
        <w:snapToGrid w:val="0"/>
        <w:spacing w:line="580" w:lineRule="exact"/>
        <w:ind w:firstLine="640" w:firstLineChars="200"/>
        <w:jc w:val="both"/>
        <w:rPr>
          <w:rFonts w:hint="eastAsia" w:ascii="仿宋_GB2312" w:hAnsi="仿宋_GB2312" w:eastAsia="仿宋_GB2312" w:cs="仿宋_GB2312"/>
          <w:kern w:val="2"/>
          <w:sz w:val="32"/>
          <w:szCs w:val="32"/>
        </w:rPr>
      </w:pPr>
      <w:r>
        <w:rPr>
          <w:rFonts w:hint="eastAsia" w:ascii="仿宋_GB2312" w:hAnsi="仿宋_GB2312" w:eastAsia="仿宋_GB2312" w:cs="仿宋_GB2312"/>
          <w:kern w:val="2"/>
          <w:sz w:val="32"/>
          <w:szCs w:val="32"/>
        </w:rPr>
        <w:t>③权属来源材料：</w:t>
      </w:r>
    </w:p>
    <w:p w14:paraId="51F3C663">
      <w:pPr>
        <w:pStyle w:val="4"/>
        <w:spacing w:line="580" w:lineRule="exact"/>
        <w:ind w:left="0" w:leftChars="0" w:right="-382" w:firstLine="640" w:firstLineChars="200"/>
        <w:rPr>
          <w:rFonts w:hint="eastAsia" w:eastAsia="仿宋_GB2312"/>
          <w:kern w:val="2"/>
          <w:sz w:val="32"/>
          <w:szCs w:val="32"/>
        </w:rPr>
      </w:pPr>
      <w:r>
        <w:rPr>
          <w:rFonts w:hint="eastAsia" w:eastAsia="仿宋_GB2312"/>
          <w:kern w:val="2"/>
          <w:sz w:val="32"/>
          <w:szCs w:val="32"/>
        </w:rPr>
        <w:t>经有批准权的人民政府批准用地的，需有批准权的人民政府批准用地的文件。</w:t>
      </w:r>
    </w:p>
    <w:p w14:paraId="2BB733EF">
      <w:pPr>
        <w:pStyle w:val="4"/>
        <w:spacing w:line="580" w:lineRule="exact"/>
        <w:ind w:left="0" w:leftChars="0" w:right="-382" w:firstLine="640" w:firstLineChars="200"/>
        <w:rPr>
          <w:rFonts w:hint="default" w:eastAsia="仿宋_GB2312"/>
          <w:kern w:val="2"/>
          <w:sz w:val="32"/>
          <w:szCs w:val="32"/>
          <w:lang w:val="en-US" w:eastAsia="zh-CN"/>
        </w:rPr>
      </w:pPr>
      <w:r>
        <w:rPr>
          <w:rFonts w:hint="eastAsia" w:eastAsia="仿宋_GB2312"/>
          <w:kern w:val="2"/>
          <w:sz w:val="32"/>
          <w:szCs w:val="32"/>
        </w:rPr>
        <w:t>因分家析产、继承房屋占用宅基地的，需提供分家析产协议、继承公证书、生效的法律文书等可以确认权属的材料。委托办理的，需按照《不动产登记暂行条例实施细则》有关要求提供委托书。</w:t>
      </w:r>
    </w:p>
    <w:p w14:paraId="2EAC478C">
      <w:pPr>
        <w:pStyle w:val="4"/>
        <w:spacing w:line="580" w:lineRule="exact"/>
        <w:ind w:left="0" w:leftChars="0" w:right="-382" w:firstLine="640" w:firstLineChars="200"/>
        <w:rPr>
          <w:rFonts w:hint="eastAsia" w:eastAsia="仿宋_GB2312"/>
          <w:kern w:val="2"/>
          <w:sz w:val="32"/>
          <w:szCs w:val="32"/>
        </w:rPr>
      </w:pPr>
      <w:r>
        <w:rPr>
          <w:rFonts w:hint="eastAsia" w:eastAsia="仿宋_GB2312"/>
          <w:kern w:val="2"/>
          <w:sz w:val="32"/>
          <w:szCs w:val="32"/>
        </w:rPr>
        <w:t>因互换房屋、买卖房屋、赠与房屋取得宅基地使用权及房屋所有权的，除需提供相应的协议（合同）外，还需提供所在集体经济组织出具的认定核实材料。</w:t>
      </w:r>
    </w:p>
    <w:p w14:paraId="3894B433">
      <w:pPr>
        <w:pStyle w:val="4"/>
        <w:spacing w:line="580" w:lineRule="exact"/>
        <w:ind w:left="0" w:leftChars="0" w:right="-382" w:firstLine="640" w:firstLineChars="200"/>
        <w:rPr>
          <w:rFonts w:hint="eastAsia" w:eastAsia="仿宋_GB2312"/>
          <w:kern w:val="2"/>
          <w:sz w:val="32"/>
          <w:szCs w:val="32"/>
        </w:rPr>
      </w:pPr>
      <w:r>
        <w:rPr>
          <w:rFonts w:hint="eastAsia" w:eastAsia="仿宋_GB2312"/>
          <w:kern w:val="2"/>
          <w:sz w:val="32"/>
          <w:szCs w:val="32"/>
        </w:rPr>
        <w:t>属于继承、分家析产、互换、购买、赠与情形的，申请人持有该宗宅基地原始用地具有批准文件及地上房屋建设手续材料的或历史上就宅基地使用权已依法登记的，应同时一并提交。</w:t>
      </w:r>
    </w:p>
    <w:p w14:paraId="0CC7EE7B">
      <w:pPr>
        <w:pStyle w:val="4"/>
        <w:spacing w:line="580" w:lineRule="exact"/>
        <w:ind w:left="0" w:leftChars="0" w:right="-382" w:firstLine="640" w:firstLineChars="200"/>
        <w:rPr>
          <w:rFonts w:hint="eastAsia" w:eastAsia="仿宋_GB2312"/>
          <w:kern w:val="2"/>
          <w:sz w:val="32"/>
          <w:szCs w:val="32"/>
        </w:rPr>
      </w:pPr>
      <w:r>
        <w:rPr>
          <w:rFonts w:hint="eastAsia" w:eastAsia="仿宋_GB2312"/>
          <w:kern w:val="2"/>
          <w:sz w:val="32"/>
          <w:szCs w:val="32"/>
        </w:rPr>
        <w:t>人民法院关于宅基地使用权及房屋所有权归属的生效判决，仲裁机构关于宅基地使用权及房屋所有权归属的仲裁书，人民政府关于宅基地权属纠纷的处理决定书等。</w:t>
      </w:r>
    </w:p>
    <w:p w14:paraId="30A4BF82">
      <w:pPr>
        <w:pStyle w:val="4"/>
        <w:spacing w:line="580" w:lineRule="exact"/>
        <w:ind w:left="0" w:leftChars="0" w:right="-382" w:firstLine="640" w:firstLineChars="200"/>
        <w:rPr>
          <w:rFonts w:hint="eastAsia" w:eastAsia="仿宋_GB2312"/>
          <w:kern w:val="2"/>
          <w:sz w:val="32"/>
          <w:szCs w:val="32"/>
        </w:rPr>
      </w:pPr>
      <w:r>
        <w:rPr>
          <w:rFonts w:hint="eastAsia" w:eastAsia="仿宋_GB2312"/>
          <w:kern w:val="2"/>
          <w:sz w:val="32"/>
          <w:szCs w:val="32"/>
        </w:rPr>
        <w:t>无权属来源材料的，需提供《房屋土地权属来源情况核实证明》。</w:t>
      </w:r>
    </w:p>
    <w:p w14:paraId="367AAEC0">
      <w:pPr>
        <w:widowControl w:val="0"/>
        <w:adjustRightInd w:val="0"/>
        <w:snapToGrid w:val="0"/>
        <w:spacing w:line="580" w:lineRule="exact"/>
        <w:ind w:firstLine="640" w:firstLineChars="200"/>
        <w:jc w:val="both"/>
        <w:rPr>
          <w:rFonts w:hint="eastAsia" w:ascii="仿宋_GB2312" w:hAnsi="仿宋_GB2312" w:eastAsia="仿宋_GB2312" w:cs="仿宋_GB2312"/>
          <w:kern w:val="2"/>
          <w:sz w:val="32"/>
          <w:szCs w:val="32"/>
        </w:rPr>
      </w:pPr>
      <w:r>
        <w:rPr>
          <w:rFonts w:hint="eastAsia" w:ascii="仿宋_GB2312" w:hAnsi="仿宋_GB2312" w:eastAsia="仿宋_GB2312" w:cs="仿宋_GB2312"/>
          <w:kern w:val="2"/>
          <w:sz w:val="32"/>
          <w:szCs w:val="32"/>
        </w:rPr>
        <w:t>④地籍调查成果。</w:t>
      </w:r>
    </w:p>
    <w:p w14:paraId="01A4C741">
      <w:pPr>
        <w:widowControl w:val="0"/>
        <w:adjustRightInd w:val="0"/>
        <w:snapToGrid w:val="0"/>
        <w:spacing w:line="580" w:lineRule="exact"/>
        <w:ind w:firstLine="640" w:firstLineChars="200"/>
        <w:jc w:val="both"/>
        <w:rPr>
          <w:rFonts w:hint="eastAsia" w:ascii="仿宋_GB2312" w:hAnsi="仿宋_GB2312" w:eastAsia="仿宋_GB2312" w:cs="仿宋_GB2312"/>
          <w:kern w:val="2"/>
          <w:sz w:val="32"/>
          <w:szCs w:val="32"/>
        </w:rPr>
      </w:pPr>
      <w:r>
        <w:rPr>
          <w:rFonts w:hint="eastAsia" w:ascii="仿宋_GB2312" w:hAnsi="仿宋_GB2312" w:eastAsia="仿宋_GB2312" w:cs="仿宋_GB2312"/>
          <w:kern w:val="2"/>
          <w:sz w:val="32"/>
          <w:szCs w:val="32"/>
        </w:rPr>
        <w:t>⑤公安部门出具的或经公安部门核实确认的宅基地院门牌证明材料。</w:t>
      </w:r>
    </w:p>
    <w:p w14:paraId="1F403C0F">
      <w:pPr>
        <w:widowControl w:val="0"/>
        <w:adjustRightInd w:val="0"/>
        <w:snapToGrid w:val="0"/>
        <w:spacing w:line="580" w:lineRule="exact"/>
        <w:ind w:firstLine="640" w:firstLineChars="200"/>
        <w:jc w:val="both"/>
        <w:rPr>
          <w:rFonts w:hint="eastAsia" w:ascii="仿宋_GB2312" w:hAnsi="仿宋_GB2312" w:eastAsia="仿宋_GB2312" w:cs="仿宋_GB2312"/>
          <w:kern w:val="2"/>
          <w:sz w:val="32"/>
          <w:szCs w:val="32"/>
        </w:rPr>
      </w:pPr>
      <w:r>
        <w:rPr>
          <w:rFonts w:hint="eastAsia" w:ascii="仿宋_GB2312" w:hAnsi="仿宋_GB2312" w:eastAsia="仿宋_GB2312" w:cs="仿宋_GB2312"/>
          <w:kern w:val="2"/>
          <w:sz w:val="32"/>
          <w:szCs w:val="32"/>
        </w:rPr>
        <w:t>⑥法律、行政法规以及《不动产登记暂行条例实施细则》等规定的其他材料。</w:t>
      </w:r>
    </w:p>
    <w:p w14:paraId="5A321A4D">
      <w:pPr>
        <w:widowControl w:val="0"/>
        <w:adjustRightInd w:val="0"/>
        <w:snapToGrid w:val="0"/>
        <w:spacing w:line="580" w:lineRule="exact"/>
        <w:ind w:firstLine="643" w:firstLineChars="200"/>
        <w:jc w:val="both"/>
        <w:rPr>
          <w:rFonts w:hint="eastAsia" w:ascii="仿宋_GB2312" w:hAnsi="仿宋_GB2312" w:eastAsia="仿宋_GB2312" w:cs="仿宋_GB2312"/>
          <w:sz w:val="32"/>
          <w:szCs w:val="32"/>
        </w:rPr>
      </w:pPr>
      <w:r>
        <w:rPr>
          <w:rFonts w:hint="eastAsia" w:ascii="仿宋_GB2312" w:hAnsi="仿宋_GB2312" w:eastAsia="仿宋_GB2312" w:cs="仿宋_GB2312"/>
          <w:b/>
          <w:bCs/>
          <w:sz w:val="32"/>
          <w:szCs w:val="32"/>
        </w:rPr>
        <w:t>2.受理。</w:t>
      </w:r>
      <w:r>
        <w:rPr>
          <w:rFonts w:hint="eastAsia" w:ascii="仿宋_GB2312" w:hAnsi="仿宋_GB2312" w:eastAsia="仿宋_GB2312" w:cs="仿宋_GB2312"/>
          <w:sz w:val="32"/>
          <w:szCs w:val="32"/>
        </w:rPr>
        <w:t>按照本细则有关要求批量受理宅基地使用权及房屋所有权的首次登记。</w:t>
      </w:r>
    </w:p>
    <w:p w14:paraId="4C22F8A1">
      <w:pPr>
        <w:widowControl w:val="0"/>
        <w:numPr>
          <w:ilvl w:val="0"/>
          <w:numId w:val="1"/>
        </w:numPr>
        <w:adjustRightInd w:val="0"/>
        <w:snapToGrid w:val="0"/>
        <w:spacing w:line="580" w:lineRule="exact"/>
        <w:ind w:firstLine="643" w:firstLineChars="200"/>
        <w:jc w:val="both"/>
        <w:rPr>
          <w:rFonts w:hint="eastAsia" w:ascii="仿宋_GB2312" w:hAnsi="仿宋_GB2312" w:eastAsia="仿宋_GB2312" w:cs="仿宋_GB2312"/>
          <w:sz w:val="32"/>
          <w:szCs w:val="32"/>
        </w:rPr>
      </w:pPr>
      <w:r>
        <w:rPr>
          <w:rFonts w:hint="eastAsia" w:ascii="仿宋_GB2312" w:hAnsi="仿宋_GB2312" w:eastAsia="仿宋_GB2312" w:cs="仿宋_GB2312"/>
          <w:b/>
          <w:bCs/>
          <w:sz w:val="32"/>
          <w:szCs w:val="32"/>
        </w:rPr>
        <w:t>审核。</w:t>
      </w:r>
      <w:r>
        <w:rPr>
          <w:rFonts w:hint="eastAsia" w:ascii="仿宋_GB2312" w:hAnsi="仿宋_GB2312" w:eastAsia="仿宋_GB2312" w:cs="仿宋_GB2312"/>
          <w:sz w:val="32"/>
          <w:szCs w:val="32"/>
        </w:rPr>
        <w:t>根据申请登记事项，按照本细则及《北京市不动产登记工作规范》等要求，对申请材料进一步审查。审核要点如下：</w:t>
      </w:r>
    </w:p>
    <w:p w14:paraId="286656CC">
      <w:pPr>
        <w:widowControl w:val="0"/>
        <w:numPr>
          <w:ilvl w:val="0"/>
          <w:numId w:val="2"/>
        </w:numPr>
        <w:adjustRightInd w:val="0"/>
        <w:snapToGrid w:val="0"/>
        <w:spacing w:line="580" w:lineRule="exact"/>
        <w:ind w:firstLine="640" w:firstLineChars="200"/>
        <w:jc w:val="both"/>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是否有合法的土地权属来源资料；建房时未取得宅基地用地批准文件的，是否已经村级核实和镇政府认定，并取得镇政府出具的合法用地意见。</w:t>
      </w:r>
    </w:p>
    <w:p w14:paraId="401E4A2C">
      <w:pPr>
        <w:widowControl w:val="0"/>
        <w:numPr>
          <w:ilvl w:val="0"/>
          <w:numId w:val="2"/>
        </w:numPr>
        <w:adjustRightInd w:val="0"/>
        <w:snapToGrid w:val="0"/>
        <w:spacing w:line="580" w:lineRule="exact"/>
        <w:ind w:firstLine="640" w:firstLineChars="200"/>
        <w:jc w:val="both"/>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不动产登记申请书、权属来源材料等记载的主体等内容是否一致。</w:t>
      </w:r>
    </w:p>
    <w:p w14:paraId="03C10923">
      <w:pPr>
        <w:widowControl w:val="0"/>
        <w:numPr>
          <w:ilvl w:val="0"/>
          <w:numId w:val="2"/>
        </w:numPr>
        <w:adjustRightInd w:val="0"/>
        <w:snapToGrid w:val="0"/>
        <w:spacing w:line="580" w:lineRule="exact"/>
        <w:ind w:firstLine="640" w:firstLineChars="200"/>
        <w:jc w:val="both"/>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房屋等建筑物、构筑物是否符合规划或建设的相关要求；建房时未取得建房批复的，是否已经村级核实和镇政府认定，并取得镇政府出具的同意意见。</w:t>
      </w:r>
    </w:p>
    <w:p w14:paraId="1B596E6D">
      <w:pPr>
        <w:widowControl w:val="0"/>
        <w:numPr>
          <w:ilvl w:val="0"/>
          <w:numId w:val="2"/>
        </w:numPr>
        <w:adjustRightInd w:val="0"/>
        <w:snapToGrid w:val="0"/>
        <w:spacing w:line="580" w:lineRule="exact"/>
        <w:ind w:firstLine="640" w:firstLineChars="200"/>
        <w:jc w:val="both"/>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地籍调查成果资料是否齐全、规范，地籍调查表记载的权利人、权利类型及其性质是否准确，宗地图和房屋平面图、界址坐标、面积等是否符合要求。</w:t>
      </w:r>
    </w:p>
    <w:p w14:paraId="4A53F98D">
      <w:pPr>
        <w:widowControl w:val="0"/>
        <w:adjustRightInd w:val="0"/>
        <w:snapToGrid w:val="0"/>
        <w:spacing w:line="580" w:lineRule="exact"/>
        <w:ind w:firstLine="643" w:firstLineChars="200"/>
        <w:jc w:val="both"/>
        <w:rPr>
          <w:rFonts w:hint="eastAsia" w:ascii="仿宋_GB2312" w:hAnsi="仿宋_GB2312" w:eastAsia="仿宋_GB2312" w:cs="仿宋_GB2312"/>
          <w:sz w:val="32"/>
          <w:szCs w:val="32"/>
        </w:rPr>
      </w:pPr>
      <w:r>
        <w:rPr>
          <w:rFonts w:hint="eastAsia" w:ascii="仿宋_GB2312" w:hAnsi="仿宋_GB2312" w:eastAsia="仿宋_GB2312" w:cs="仿宋_GB2312"/>
          <w:b/>
          <w:bCs/>
          <w:sz w:val="32"/>
          <w:szCs w:val="32"/>
        </w:rPr>
        <w:t>4.公示。</w:t>
      </w:r>
      <w:r>
        <w:rPr>
          <w:rFonts w:hint="eastAsia" w:ascii="仿宋_GB2312" w:hAnsi="仿宋_GB2312" w:eastAsia="仿宋_GB2312" w:cs="仿宋_GB2312"/>
          <w:sz w:val="32"/>
          <w:szCs w:val="32"/>
        </w:rPr>
        <w:t>登簿前按照《不动产登记暂行条例实施细则》要求，对拟登记事项</w:t>
      </w:r>
      <w:r>
        <w:rPr>
          <w:rFonts w:hint="eastAsia" w:ascii="仿宋_GB2312" w:hAnsi="仿宋_GB2312" w:eastAsia="仿宋_GB2312" w:cs="仿宋_GB2312"/>
          <w:sz w:val="32"/>
          <w:szCs w:val="32"/>
          <w:lang w:val="en-US" w:eastAsia="zh-CN"/>
        </w:rPr>
        <w:t>由</w:t>
      </w:r>
      <w:r>
        <w:rPr>
          <w:rFonts w:hint="eastAsia" w:ascii="仿宋_GB2312" w:hAnsi="仿宋_GB2312" w:eastAsia="仿宋_GB2312" w:cs="仿宋_GB2312"/>
          <w:sz w:val="32"/>
          <w:szCs w:val="32"/>
        </w:rPr>
        <w:t>不动产登记机构</w:t>
      </w:r>
      <w:r>
        <w:rPr>
          <w:rFonts w:hint="eastAsia" w:ascii="仿宋_GB2312" w:hAnsi="仿宋_GB2312" w:eastAsia="仿宋_GB2312" w:cs="仿宋_GB2312"/>
          <w:sz w:val="32"/>
          <w:szCs w:val="32"/>
          <w:lang w:val="en-US" w:eastAsia="zh-CN"/>
        </w:rPr>
        <w:t>在其</w:t>
      </w:r>
      <w:r>
        <w:rPr>
          <w:rFonts w:hint="eastAsia" w:ascii="仿宋_GB2312" w:hAnsi="仿宋_GB2312" w:eastAsia="仿宋_GB2312" w:cs="仿宋_GB2312"/>
          <w:sz w:val="32"/>
          <w:szCs w:val="32"/>
        </w:rPr>
        <w:t>门户网站以及不动产所在地进行公示，公示期不少于15个工作日。</w:t>
      </w:r>
    </w:p>
    <w:p w14:paraId="5A0D54A8">
      <w:pPr>
        <w:spacing w:line="580" w:lineRule="exact"/>
        <w:ind w:firstLine="640"/>
        <w:rPr>
          <w:rFonts w:hint="eastAsia" w:ascii="仿宋_GB2312" w:hAnsi="仿宋_GB2312" w:eastAsia="仿宋_GB2312" w:cs="仿宋_GB2312"/>
          <w:sz w:val="32"/>
          <w:szCs w:val="32"/>
        </w:rPr>
      </w:pPr>
      <w:r>
        <w:rPr>
          <w:rFonts w:hint="eastAsia" w:ascii="仿宋_GB2312" w:hAnsi="仿宋_GB2312" w:eastAsia="仿宋_GB2312" w:cs="仿宋_GB2312"/>
          <w:b/>
          <w:bCs/>
          <w:sz w:val="32"/>
          <w:szCs w:val="32"/>
        </w:rPr>
        <w:t>5.登簿。</w:t>
      </w:r>
      <w:r>
        <w:rPr>
          <w:rFonts w:hint="eastAsia" w:ascii="仿宋_GB2312" w:hAnsi="仿宋_GB2312" w:eastAsia="仿宋_GB2312" w:cs="仿宋_GB2312"/>
          <w:sz w:val="32"/>
          <w:szCs w:val="32"/>
        </w:rPr>
        <w:t>公示期满无异议或异议不成立的，经审核符合登记条件的，将申请登记事项完整的记载于不动产登记簿。</w:t>
      </w:r>
    </w:p>
    <w:p w14:paraId="5421FE67">
      <w:pPr>
        <w:spacing w:line="580" w:lineRule="exact"/>
        <w:ind w:firstLine="640"/>
        <w:rPr>
          <w:rFonts w:hint="eastAsia" w:ascii="仿宋_GB2312" w:hAnsi="仿宋_GB2312" w:eastAsia="仿宋_GB2312" w:cs="仿宋_GB2312"/>
          <w:sz w:val="32"/>
          <w:szCs w:val="32"/>
        </w:rPr>
      </w:pPr>
      <w:r>
        <w:rPr>
          <w:rFonts w:hint="eastAsia" w:ascii="仿宋_GB2312" w:hAnsi="仿宋_GB2312" w:eastAsia="仿宋_GB2312" w:cs="仿宋_GB2312"/>
          <w:b/>
          <w:bCs/>
          <w:sz w:val="32"/>
          <w:szCs w:val="32"/>
        </w:rPr>
        <w:t>6.发证。</w:t>
      </w:r>
      <w:r>
        <w:rPr>
          <w:rFonts w:hint="eastAsia" w:ascii="仿宋_GB2312" w:hAnsi="仿宋_GB2312" w:eastAsia="仿宋_GB2312" w:cs="仿宋_GB2312"/>
          <w:sz w:val="32"/>
          <w:szCs w:val="32"/>
        </w:rPr>
        <w:t>根据不动产登记簿核发不动产权证书，不动产权证书要颁证到户，对于按户取得宅基地使用权的，原则上向每户核发一本证书。</w:t>
      </w:r>
    </w:p>
    <w:p w14:paraId="0B31C8E9">
      <w:pPr>
        <w:spacing w:line="580" w:lineRule="exact"/>
        <w:ind w:firstLine="64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（1）不动产权证书附记记载的事项</w:t>
      </w:r>
    </w:p>
    <w:p w14:paraId="4A77AB0F">
      <w:pPr>
        <w:spacing w:line="580" w:lineRule="exact"/>
        <w:ind w:firstLine="64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权利人为非本农村集体经济组成员的，注记“该权利人为非农村集体经济组织成员”；</w:t>
      </w:r>
    </w:p>
    <w:p w14:paraId="3055424C">
      <w:pPr>
        <w:spacing w:line="580" w:lineRule="exact"/>
        <w:ind w:firstLine="64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不动产权利为依法继承取得的，注记“因继承房屋取得”；</w:t>
      </w:r>
    </w:p>
    <w:p w14:paraId="1941CDCB">
      <w:pPr>
        <w:spacing w:line="580" w:lineRule="exact"/>
        <w:ind w:firstLine="640"/>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sz w:val="32"/>
          <w:szCs w:val="32"/>
        </w:rPr>
        <w:t>不动产为受国家保护的不可移动文物的，注记“该不动产属于受国家保护的不可移动文物”；</w:t>
      </w:r>
    </w:p>
    <w:p w14:paraId="7EFC9C7B">
      <w:pPr>
        <w:spacing w:line="580" w:lineRule="exact"/>
        <w:ind w:firstLine="64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依据法律文书办理的，注记相关事项；</w:t>
      </w:r>
    </w:p>
    <w:p w14:paraId="556EFDED">
      <w:pPr>
        <w:spacing w:line="580" w:lineRule="exact"/>
        <w:ind w:firstLine="64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其他需要注记的不动产权利限制或提示事项。</w:t>
      </w:r>
    </w:p>
    <w:p w14:paraId="63FAC3E9">
      <w:pPr>
        <w:spacing w:line="580" w:lineRule="exact"/>
        <w:ind w:firstLine="64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（2）不动产权证书附图</w:t>
      </w:r>
    </w:p>
    <w:p w14:paraId="2D6DA1FA">
      <w:pPr>
        <w:spacing w:line="580" w:lineRule="exact"/>
        <w:ind w:firstLine="640"/>
        <w:rPr>
          <w:rFonts w:eastAsia="仿宋_GB2312" w:cs="仿宋_GB2312"/>
          <w:kern w:val="2"/>
          <w:sz w:val="32"/>
          <w:szCs w:val="32"/>
          <w:highlight w:val="cyan"/>
        </w:rPr>
      </w:pPr>
      <w:r>
        <w:rPr>
          <w:rFonts w:hint="eastAsia" w:ascii="仿宋_GB2312" w:hAnsi="仿宋_GB2312" w:eastAsia="仿宋_GB2312" w:cs="仿宋_GB2312"/>
          <w:sz w:val="32"/>
          <w:szCs w:val="32"/>
        </w:rPr>
        <w:t>不动产权证书应附宗地图和房产平面图。</w:t>
      </w:r>
    </w:p>
    <w:p w14:paraId="69C6E3C6">
      <w:pPr>
        <w:widowControl w:val="0"/>
        <w:adjustRightInd w:val="0"/>
        <w:snapToGrid w:val="0"/>
        <w:spacing w:line="580" w:lineRule="exact"/>
        <w:ind w:firstLine="640" w:firstLineChars="200"/>
        <w:jc w:val="both"/>
        <w:outlineLvl w:val="0"/>
        <w:rPr>
          <w:rFonts w:hint="eastAsia" w:ascii="黑体" w:hAnsi="黑体" w:eastAsia="黑体" w:cs="黑体"/>
          <w:sz w:val="32"/>
          <w:szCs w:val="32"/>
        </w:rPr>
      </w:pPr>
      <w:r>
        <w:rPr>
          <w:rFonts w:hint="eastAsia" w:ascii="黑体" w:hAnsi="黑体" w:eastAsia="黑体" w:cs="黑体"/>
          <w:sz w:val="32"/>
          <w:szCs w:val="32"/>
        </w:rPr>
        <w:t>四、宅基地标准面积的确定</w:t>
      </w:r>
    </w:p>
    <w:p w14:paraId="4600CF68">
      <w:pPr>
        <w:spacing w:line="580" w:lineRule="exact"/>
        <w:ind w:firstLine="64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（一）农村集体经济组织成员经合法批准建房占用宅基地的，按照批准</w:t>
      </w:r>
      <w:r>
        <w:rPr>
          <w:rFonts w:hint="eastAsia" w:ascii="仿宋_GB2312" w:hAnsi="宋体" w:eastAsia="仿宋_GB2312" w:cs="仿宋_GB2312"/>
          <w:sz w:val="32"/>
          <w:szCs w:val="32"/>
          <w:lang w:bidi="ar"/>
        </w:rPr>
        <w:t>面积予以</w:t>
      </w:r>
      <w:r>
        <w:rPr>
          <w:rFonts w:hint="eastAsia" w:ascii="仿宋_GB2312" w:hAnsi="仿宋_GB2312" w:eastAsia="仿宋_GB2312" w:cs="仿宋_GB2312"/>
          <w:sz w:val="32"/>
          <w:szCs w:val="32"/>
        </w:rPr>
        <w:t>确权登记。</w:t>
      </w:r>
    </w:p>
    <w:p w14:paraId="1D2D867A">
      <w:pPr>
        <w:spacing w:line="580" w:lineRule="exact"/>
        <w:ind w:firstLine="64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（二）未履行批准手续建房占用宅基地的，按照如下原则办理：</w:t>
      </w:r>
    </w:p>
    <w:p w14:paraId="1781F445">
      <w:pPr>
        <w:widowControl/>
        <w:adjustRightInd/>
        <w:snapToGrid/>
        <w:spacing w:line="240" w:lineRule="auto"/>
        <w:ind w:firstLine="640" w:firstLineChars="200"/>
        <w:jc w:val="left"/>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1.用地行为发生在</w:t>
      </w:r>
      <w:r>
        <w:rPr>
          <w:rFonts w:ascii="仿宋_GB2312" w:hAnsi="宋体" w:eastAsia="仿宋_GB2312" w:cs="仿宋_GB2312"/>
          <w:color w:val="000000"/>
          <w:kern w:val="0"/>
          <w:sz w:val="31"/>
          <w:szCs w:val="31"/>
          <w:lang w:val="en-US" w:eastAsia="zh-CN" w:bidi="ar"/>
        </w:rPr>
        <w:t>1982年《北京市人</w:t>
      </w:r>
      <w:r>
        <w:rPr>
          <w:rFonts w:hint="eastAsia" w:ascii="仿宋_GB2312" w:hAnsi="宋体" w:eastAsia="仿宋_GB2312" w:cs="仿宋_GB2312"/>
          <w:color w:val="000000"/>
          <w:kern w:val="0"/>
          <w:sz w:val="31"/>
          <w:szCs w:val="31"/>
          <w:lang w:val="en-US" w:eastAsia="zh-CN" w:bidi="ar"/>
        </w:rPr>
        <w:t>民政府关于贯彻执行国务院一九八二年四号、二十九号文件制止乱占滥用耕地加强土地管理的紧急通知》（京政发〔1982〕23号）发布以前，</w:t>
      </w:r>
      <w:r>
        <w:rPr>
          <w:rFonts w:hint="eastAsia" w:ascii="仿宋_GB2312" w:hAnsi="仿宋_GB2312" w:eastAsia="仿宋_GB2312" w:cs="仿宋_GB2312"/>
          <w:sz w:val="32"/>
          <w:szCs w:val="32"/>
        </w:rPr>
        <w:t>农村集体成员建房占用的宅基地至今未扩大用地面积的，面积未超过266.67平方米，按实际使用面积确权登记；面积超过266.67平方米，按照266.67平方米确权登记。</w:t>
      </w:r>
    </w:p>
    <w:p w14:paraId="079E578D">
      <w:pPr>
        <w:widowControl w:val="0"/>
        <w:adjustRightInd w:val="0"/>
        <w:snapToGrid w:val="0"/>
        <w:spacing w:line="580" w:lineRule="exact"/>
        <w:ind w:firstLine="640" w:firstLineChars="200"/>
        <w:jc w:val="both"/>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2</w:t>
      </w:r>
      <w:r>
        <w:rPr>
          <w:rFonts w:hint="eastAsia" w:ascii="仿宋_GB2312" w:hAnsi="仿宋_GB2312" w:eastAsia="仿宋_GB2312" w:cs="仿宋_GB2312"/>
          <w:sz w:val="32"/>
          <w:szCs w:val="32"/>
        </w:rPr>
        <w:t>.用地行为发生在</w:t>
      </w:r>
      <w:r>
        <w:rPr>
          <w:rFonts w:ascii="仿宋_GB2312" w:hAnsi="宋体" w:eastAsia="仿宋_GB2312" w:cs="仿宋_GB2312"/>
          <w:color w:val="000000"/>
          <w:kern w:val="0"/>
          <w:sz w:val="31"/>
          <w:szCs w:val="31"/>
          <w:lang w:val="en-US" w:eastAsia="zh-CN" w:bidi="ar"/>
        </w:rPr>
        <w:t>1982年《北京市人</w:t>
      </w:r>
      <w:r>
        <w:rPr>
          <w:rFonts w:hint="eastAsia" w:ascii="仿宋_GB2312" w:hAnsi="宋体" w:eastAsia="仿宋_GB2312" w:cs="仿宋_GB2312"/>
          <w:color w:val="000000"/>
          <w:kern w:val="0"/>
          <w:sz w:val="31"/>
          <w:szCs w:val="31"/>
          <w:lang w:val="en-US" w:eastAsia="zh-CN" w:bidi="ar"/>
        </w:rPr>
        <w:t>民政府关于贯彻执行国务院一九八二年四号、二十九号文件制止乱占滥用耕地加强土地管理的紧急通知》（京政发〔1982〕23号）发布以后</w:t>
      </w:r>
      <w:r>
        <w:rPr>
          <w:rFonts w:hint="eastAsia" w:ascii="仿宋_GB2312" w:hAnsi="仿宋_GB2312" w:eastAsia="仿宋_GB2312" w:cs="仿宋_GB2312"/>
          <w:sz w:val="32"/>
          <w:szCs w:val="32"/>
        </w:rPr>
        <w:t>，农村集体成员建房占用的宅基地至今未扩大用地面积的，面积未超过167平方米，按照实际使用面积确权登记；面积超过167平方米的，按照167平方米确权登记。</w:t>
      </w:r>
    </w:p>
    <w:p w14:paraId="50E5E0A8">
      <w:pPr>
        <w:widowControl w:val="0"/>
        <w:adjustRightInd w:val="0"/>
        <w:snapToGrid w:val="0"/>
        <w:spacing w:line="580" w:lineRule="exact"/>
        <w:ind w:firstLine="640" w:firstLineChars="200"/>
        <w:jc w:val="both"/>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3</w:t>
      </w:r>
      <w:r>
        <w:rPr>
          <w:rFonts w:hint="eastAsia" w:ascii="仿宋_GB2312" w:hAnsi="仿宋_GB2312" w:eastAsia="仿宋_GB2312" w:cs="仿宋_GB2312"/>
          <w:sz w:val="32"/>
          <w:szCs w:val="32"/>
        </w:rPr>
        <w:t>.历史上接受转让、赠与房屋占用的宅基地超过当地规定面积标准的，按照转让、赠与行为发生时对宅基地超面积标准的政策规定，予以确权登记。</w:t>
      </w:r>
    </w:p>
    <w:p w14:paraId="0478665D">
      <w:pPr>
        <w:widowControl w:val="0"/>
        <w:adjustRightInd w:val="0"/>
        <w:snapToGrid w:val="0"/>
        <w:spacing w:line="580" w:lineRule="exact"/>
        <w:ind w:firstLine="640" w:firstLineChars="200"/>
        <w:jc w:val="both"/>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4</w:t>
      </w:r>
      <w:r>
        <w:rPr>
          <w:rFonts w:hint="eastAsia" w:ascii="仿宋_GB2312" w:hAnsi="仿宋_GB2312" w:eastAsia="仿宋_GB2312" w:cs="仿宋_GB2312"/>
          <w:sz w:val="32"/>
          <w:szCs w:val="32"/>
        </w:rPr>
        <w:t>.符合分户建房条件而尚未分户的农村村民，其现有的宅基地没有超过分户建房用地合计面积标准的，依法按照实测占地面积予以确权登记，并在不动产登记簿和证书的附记栏中注明情况；其现有的宅基地超过分户建房用地合计面积标准的，按照合计面积标准予以确权登记，并在不动产登记簿和证书的附记栏中注明相关情况以及实测占地面积。超出部分，可由其继续使用，并按照村庄规划或待转让及房屋继承、赠与时逐步调整。</w:t>
      </w:r>
    </w:p>
    <w:p w14:paraId="24E81DA4">
      <w:pPr>
        <w:pStyle w:val="7"/>
        <w:shd w:val="clear" w:color="auto" w:fill="FFFFFF"/>
        <w:spacing w:line="580" w:lineRule="exact"/>
        <w:ind w:firstLine="640" w:firstLineChars="200"/>
        <w:textAlignment w:val="baseline"/>
        <w:outlineLvl w:val="0"/>
        <w:rPr>
          <w:rFonts w:hint="eastAsia" w:ascii="黑体" w:hAnsi="黑体" w:eastAsia="黑体" w:cs="黑体"/>
          <w:sz w:val="32"/>
          <w:szCs w:val="32"/>
        </w:rPr>
      </w:pPr>
      <w:r>
        <w:rPr>
          <w:rFonts w:hint="eastAsia" w:ascii="黑体" w:hAnsi="黑体" w:eastAsia="黑体" w:cs="宋体"/>
          <w:color w:val="333333"/>
          <w:sz w:val="32"/>
          <w:szCs w:val="32"/>
          <w:shd w:val="clear" w:color="auto" w:fill="FFFFFF"/>
        </w:rPr>
        <w:t>五、妥善处理疑难问题</w:t>
      </w:r>
    </w:p>
    <w:p w14:paraId="6990E76C">
      <w:pPr>
        <w:widowControl w:val="0"/>
        <w:autoSpaceDE w:val="0"/>
        <w:autoSpaceDN w:val="0"/>
        <w:adjustRightInd w:val="0"/>
        <w:spacing w:line="580" w:lineRule="exact"/>
        <w:ind w:firstLine="640" w:firstLineChars="200"/>
        <w:outlineLvl w:val="1"/>
        <w:rPr>
          <w:rFonts w:hint="eastAsia" w:ascii="楷体_GB2312" w:hAnsi="楷体_GB2312" w:eastAsia="楷体_GB2312" w:cs="楷体_GB2312"/>
          <w:bCs/>
          <w:sz w:val="32"/>
          <w:szCs w:val="32"/>
        </w:rPr>
      </w:pPr>
      <w:r>
        <w:rPr>
          <w:rFonts w:hint="eastAsia" w:ascii="楷体_GB2312" w:hAnsi="楷体_GB2312" w:eastAsia="楷体_GB2312" w:cs="楷体_GB2312"/>
          <w:bCs/>
          <w:sz w:val="32"/>
          <w:szCs w:val="32"/>
        </w:rPr>
        <w:t>（一）明确“户”的认定。</w:t>
      </w:r>
    </w:p>
    <w:p w14:paraId="3732C5C7">
      <w:pPr>
        <w:widowControl w:val="0"/>
        <w:autoSpaceDE w:val="0"/>
        <w:autoSpaceDN w:val="0"/>
        <w:adjustRightInd w:val="0"/>
        <w:spacing w:line="580" w:lineRule="exact"/>
        <w:ind w:firstLine="640" w:firstLineChars="200"/>
        <w:rPr>
          <w:rFonts w:hint="eastAsia" w:ascii="仿宋_GB2312" w:hAnsi="仿宋_GB2312" w:eastAsia="仿宋_GB2312" w:cs="仿宋_GB2312"/>
          <w:bCs/>
          <w:sz w:val="32"/>
          <w:szCs w:val="32"/>
        </w:rPr>
      </w:pPr>
      <w:r>
        <w:rPr>
          <w:rFonts w:hint="eastAsia" w:ascii="仿宋_GB2312" w:hAnsi="仿宋_GB2312" w:eastAsia="仿宋_GB2312" w:cs="仿宋_GB2312"/>
          <w:bCs/>
          <w:sz w:val="32"/>
          <w:szCs w:val="32"/>
        </w:rPr>
        <w:t>宅基地使用权应按照“一户一宅”要求，原则上确权登记到“户”。因继承房屋占用宅基地的应确权登记到继承人。</w:t>
      </w:r>
    </w:p>
    <w:p w14:paraId="228BEB7F">
      <w:pPr>
        <w:widowControl w:val="0"/>
        <w:autoSpaceDE w:val="0"/>
        <w:autoSpaceDN w:val="0"/>
        <w:adjustRightInd w:val="0"/>
        <w:spacing w:line="580" w:lineRule="exact"/>
        <w:ind w:firstLine="640" w:firstLineChars="200"/>
        <w:rPr>
          <w:rFonts w:hint="eastAsia" w:ascii="仿宋_GB2312" w:hAnsi="仿宋_GB2312" w:eastAsia="仿宋_GB2312" w:cs="仿宋_GB2312"/>
          <w:bCs/>
          <w:sz w:val="32"/>
          <w:szCs w:val="32"/>
        </w:rPr>
      </w:pPr>
      <w:r>
        <w:rPr>
          <w:rFonts w:hint="eastAsia" w:ascii="仿宋_GB2312" w:hAnsi="仿宋_GB2312" w:eastAsia="仿宋_GB2312" w:cs="仿宋_GB2312"/>
          <w:bCs/>
          <w:sz w:val="32"/>
          <w:szCs w:val="32"/>
        </w:rPr>
        <w:t>“户”原则上应以公安机关户籍登记信息为基础。每宗宅基地原则上应认为只有一户，由户籍登记在同一宗宅基地上的家庭成员组成，一般包括户主、配偶、子女、父母等，情况复杂的还应综合村民身份、户籍关系、土地承包关系、村规民约等情况，结合村民自治方式予以认定。</w:t>
      </w:r>
    </w:p>
    <w:p w14:paraId="41725C0F">
      <w:pPr>
        <w:widowControl w:val="0"/>
        <w:autoSpaceDE w:val="0"/>
        <w:autoSpaceDN w:val="0"/>
        <w:adjustRightInd w:val="0"/>
        <w:spacing w:line="580" w:lineRule="exact"/>
        <w:ind w:firstLine="640" w:firstLineChars="200"/>
        <w:outlineLvl w:val="1"/>
        <w:rPr>
          <w:rFonts w:hint="eastAsia" w:ascii="楷体_GB2312" w:hAnsi="楷体_GB2312" w:eastAsia="楷体_GB2312" w:cs="楷体_GB2312"/>
          <w:bCs/>
          <w:sz w:val="32"/>
          <w:szCs w:val="32"/>
        </w:rPr>
      </w:pPr>
      <w:r>
        <w:rPr>
          <w:rFonts w:hint="eastAsia" w:ascii="楷体_GB2312" w:hAnsi="楷体_GB2312" w:eastAsia="楷体_GB2312" w:cs="楷体_GB2312"/>
          <w:bCs/>
          <w:sz w:val="32"/>
          <w:szCs w:val="32"/>
        </w:rPr>
        <w:t>（二）依法明确非本农村集体经济组织成员确权登记问题。</w:t>
      </w:r>
    </w:p>
    <w:p w14:paraId="5CD088DD">
      <w:pPr>
        <w:widowControl w:val="0"/>
        <w:autoSpaceDE w:val="0"/>
        <w:autoSpaceDN w:val="0"/>
        <w:adjustRightInd w:val="0"/>
        <w:spacing w:line="580" w:lineRule="exact"/>
        <w:ind w:firstLine="640" w:firstLineChars="200"/>
        <w:rPr>
          <w:rFonts w:hint="eastAsia" w:ascii="仿宋_GB2312" w:hAnsi="仿宋_GB2312" w:eastAsia="仿宋_GB2312" w:cs="仿宋_GB2312"/>
          <w:bCs/>
          <w:sz w:val="32"/>
          <w:szCs w:val="32"/>
        </w:rPr>
      </w:pPr>
      <w:r>
        <w:rPr>
          <w:rFonts w:hint="eastAsia" w:ascii="仿宋_GB2312" w:hAnsi="仿宋_GB2312" w:eastAsia="仿宋_GB2312" w:cs="仿宋_GB2312"/>
          <w:bCs/>
          <w:sz w:val="32"/>
          <w:szCs w:val="32"/>
        </w:rPr>
        <w:t>1.非本农村集体经济组织成员，因易地搬迁、地质灾害防治、新农村建设、移民安置等按照政府统一规划和批准使用宅基地的，在退出原宅基地后，依法按户确定新建房屋占用的宅基地使用权，并办理不动产登记。原宅基地已经登记的，应先办理宅基地使用权注销登记。</w:t>
      </w:r>
    </w:p>
    <w:p w14:paraId="3A516FCB">
      <w:pPr>
        <w:widowControl w:val="0"/>
        <w:autoSpaceDE w:val="0"/>
        <w:autoSpaceDN w:val="0"/>
        <w:adjustRightInd w:val="0"/>
        <w:spacing w:line="580" w:lineRule="exact"/>
        <w:ind w:firstLine="640" w:firstLineChars="200"/>
        <w:rPr>
          <w:rFonts w:hint="eastAsia" w:ascii="仿宋_GB2312" w:hAnsi="仿宋_GB2312" w:eastAsia="仿宋_GB2312" w:cs="仿宋_GB2312"/>
          <w:bCs/>
          <w:sz w:val="32"/>
          <w:szCs w:val="32"/>
        </w:rPr>
      </w:pPr>
      <w:r>
        <w:rPr>
          <w:rFonts w:hint="eastAsia" w:ascii="仿宋_GB2312" w:hAnsi="仿宋_GB2312" w:eastAsia="仿宋_GB2312" w:cs="仿宋_GB2312"/>
          <w:bCs/>
          <w:sz w:val="32"/>
          <w:szCs w:val="32"/>
        </w:rPr>
        <w:t>2.非本农村集体经济组织成员（含城镇居民），因继承房屋占用宅基地的，可对继承人按规定确权登记，在不动产登记簿及证书附记栏注记“该权利人为本农村集体经济组织原成员住宅的合法继承人”。</w:t>
      </w:r>
    </w:p>
    <w:p w14:paraId="4EFA520F">
      <w:pPr>
        <w:widowControl w:val="0"/>
        <w:autoSpaceDE w:val="0"/>
        <w:autoSpaceDN w:val="0"/>
        <w:adjustRightInd w:val="0"/>
        <w:spacing w:line="580" w:lineRule="exact"/>
        <w:ind w:firstLine="640" w:firstLineChars="200"/>
        <w:rPr>
          <w:rFonts w:hint="eastAsia" w:ascii="仿宋_GB2312" w:hAnsi="仿宋_GB2312" w:eastAsia="仿宋_GB2312" w:cs="仿宋_GB2312"/>
          <w:bCs/>
          <w:sz w:val="32"/>
          <w:szCs w:val="32"/>
        </w:rPr>
      </w:pPr>
      <w:r>
        <w:rPr>
          <w:rFonts w:hint="eastAsia" w:ascii="仿宋_GB2312" w:hAnsi="仿宋_GB2312" w:eastAsia="仿宋_GB2312" w:cs="仿宋_GB2312"/>
          <w:bCs/>
          <w:sz w:val="32"/>
          <w:szCs w:val="32"/>
        </w:rPr>
        <w:t>3.1999年《国务院办公厅关于加强土地转让管理严禁炒卖土地的通知》（国办发〔1999〕39号）印发前，回原籍村庄、集镇落户的职工、退伍军人、离（退）休干部以及回定居的华侨、港澳台同胞等，原在农村合法取得的宅基地，或因合法取得房屋而占用宅基地的，经公示无异议或异议不成立的，经农村集体经济组织出具确认材料、镇政府（涉农街道办事处）认定的，可对原始取得人员按权利人依法确权登记。在不动产登记簿及证书附记栏注记“该权利人为非本农村集体经济组织成员”。“国办发〔1999〕39号”文件印发后，城镇居民违法占用宅基地建造房屋、购买农房的，不予登记。</w:t>
      </w:r>
    </w:p>
    <w:p w14:paraId="5609AEB3">
      <w:pPr>
        <w:widowControl w:val="0"/>
        <w:autoSpaceDE w:val="0"/>
        <w:autoSpaceDN w:val="0"/>
        <w:adjustRightInd w:val="0"/>
        <w:spacing w:line="580" w:lineRule="exact"/>
        <w:ind w:firstLine="640" w:firstLineChars="200"/>
        <w:rPr>
          <w:rFonts w:hint="eastAsia" w:ascii="仿宋_GB2312" w:hAnsi="仿宋_GB2312" w:eastAsia="仿宋_GB2312" w:cs="仿宋_GB2312"/>
          <w:bCs/>
          <w:sz w:val="32"/>
          <w:szCs w:val="32"/>
        </w:rPr>
      </w:pPr>
      <w:r>
        <w:rPr>
          <w:rFonts w:hint="eastAsia" w:ascii="仿宋_GB2312" w:hAnsi="仿宋_GB2312" w:eastAsia="仿宋_GB2312" w:cs="仿宋_GB2312"/>
          <w:bCs/>
          <w:sz w:val="32"/>
          <w:szCs w:val="32"/>
        </w:rPr>
        <w:t>4.农村集体经济组织成员进城落户，其原合法取得的宅基地使用权应予确权登记。落户后失去集体经济组织成员身份的，在不动产登记簿及证书附记栏注记“该权利人为非本农村集体经济组织成员”。</w:t>
      </w:r>
    </w:p>
    <w:p w14:paraId="2659ECB1">
      <w:pPr>
        <w:widowControl w:val="0"/>
        <w:autoSpaceDE w:val="0"/>
        <w:autoSpaceDN w:val="0"/>
        <w:adjustRightInd w:val="0"/>
        <w:spacing w:line="580" w:lineRule="exact"/>
        <w:ind w:firstLine="640" w:firstLineChars="200"/>
        <w:outlineLvl w:val="1"/>
        <w:rPr>
          <w:rFonts w:hint="eastAsia" w:ascii="楷体_GB2312" w:hAnsi="楷体_GB2312" w:eastAsia="楷体_GB2312" w:cs="楷体_GB2312"/>
          <w:bCs/>
          <w:sz w:val="32"/>
          <w:szCs w:val="32"/>
        </w:rPr>
      </w:pPr>
      <w:r>
        <w:rPr>
          <w:rFonts w:hint="eastAsia" w:ascii="楷体_GB2312" w:hAnsi="楷体_GB2312" w:eastAsia="楷体_GB2312" w:cs="楷体_GB2312"/>
          <w:bCs/>
          <w:sz w:val="32"/>
          <w:szCs w:val="32"/>
        </w:rPr>
        <w:t>（三）妥善处理“一户多宅”问题</w:t>
      </w:r>
    </w:p>
    <w:p w14:paraId="170DD752">
      <w:pPr>
        <w:pStyle w:val="3"/>
        <w:widowControl w:val="0"/>
        <w:adjustRightInd w:val="0"/>
        <w:snapToGrid w:val="0"/>
        <w:spacing w:line="580" w:lineRule="exact"/>
        <w:ind w:firstLine="640" w:firstLineChars="200"/>
        <w:jc w:val="both"/>
        <w:rPr>
          <w:rFonts w:hint="eastAsia" w:ascii="仿宋_GB2312" w:hAnsi="仿宋_GB2312" w:eastAsia="仿宋_GB2312" w:cs="仿宋_GB2312"/>
          <w:b w:val="0"/>
          <w:bCs w:val="0"/>
          <w:kern w:val="2"/>
          <w:szCs w:val="32"/>
        </w:rPr>
      </w:pPr>
      <w:r>
        <w:rPr>
          <w:rFonts w:ascii="仿宋_GB2312" w:hAnsi="仿宋_GB2312" w:eastAsia="仿宋_GB2312" w:cs="仿宋_GB2312"/>
          <w:b w:val="0"/>
          <w:bCs w:val="0"/>
          <w:kern w:val="2"/>
          <w:szCs w:val="32"/>
        </w:rPr>
        <w:t>农村村民一户只能拥有一处宅基地。</w:t>
      </w:r>
    </w:p>
    <w:p w14:paraId="7963E3C3">
      <w:pPr>
        <w:pStyle w:val="3"/>
        <w:widowControl w:val="0"/>
        <w:adjustRightInd w:val="0"/>
        <w:snapToGrid w:val="0"/>
        <w:spacing w:line="580" w:lineRule="exact"/>
        <w:ind w:firstLine="640" w:firstLineChars="200"/>
        <w:jc w:val="both"/>
        <w:rPr>
          <w:szCs w:val="32"/>
        </w:rPr>
      </w:pPr>
      <w:r>
        <w:rPr>
          <w:rFonts w:hint="eastAsia" w:ascii="仿宋_GB2312" w:hAnsi="仿宋_GB2312" w:eastAsia="仿宋_GB2312" w:cs="仿宋_GB2312"/>
          <w:b w:val="0"/>
          <w:bCs w:val="0"/>
          <w:color w:val="000000"/>
          <w:szCs w:val="32"/>
        </w:rPr>
        <w:t>对于因继承房屋占用宅基地，形成“一户多宅”的，可按规定确权登记，并在不动产登记簿和证书附记栏进行注记。</w:t>
      </w:r>
      <w:r>
        <w:rPr>
          <w:rFonts w:ascii="仿宋_GB2312" w:hAnsi="仿宋_GB2312" w:eastAsia="仿宋_GB2312" w:cs="仿宋_GB2312"/>
          <w:b w:val="0"/>
          <w:bCs w:val="0"/>
          <w:kern w:val="2"/>
          <w:szCs w:val="32"/>
        </w:rPr>
        <w:t>其他情形形成“一户多宅”的，由</w:t>
      </w:r>
      <w:r>
        <w:rPr>
          <w:rFonts w:hint="eastAsia" w:ascii="仿宋_GB2312" w:hAnsi="仿宋_GB2312" w:eastAsia="仿宋_GB2312" w:cs="仿宋_GB2312"/>
          <w:b w:val="0"/>
          <w:bCs w:val="0"/>
          <w:kern w:val="2"/>
          <w:szCs w:val="32"/>
        </w:rPr>
        <w:t>村</w:t>
      </w:r>
      <w:r>
        <w:rPr>
          <w:rFonts w:ascii="仿宋_GB2312" w:hAnsi="仿宋_GB2312" w:eastAsia="仿宋_GB2312" w:cs="仿宋_GB2312"/>
          <w:b w:val="0"/>
          <w:bCs w:val="0"/>
          <w:kern w:val="2"/>
          <w:szCs w:val="32"/>
        </w:rPr>
        <w:t>民</w:t>
      </w:r>
      <w:r>
        <w:rPr>
          <w:rFonts w:hint="eastAsia" w:ascii="仿宋_GB2312" w:hAnsi="仿宋_GB2312" w:eastAsia="仿宋_GB2312" w:cs="仿宋_GB2312"/>
          <w:b w:val="0"/>
          <w:bCs w:val="0"/>
          <w:kern w:val="2"/>
          <w:szCs w:val="32"/>
        </w:rPr>
        <w:t>按规定</w:t>
      </w:r>
      <w:r>
        <w:rPr>
          <w:rFonts w:ascii="仿宋_GB2312" w:hAnsi="仿宋_GB2312" w:eastAsia="仿宋_GB2312" w:cs="仿宋_GB2312"/>
          <w:b w:val="0"/>
          <w:bCs w:val="0"/>
          <w:kern w:val="2"/>
          <w:szCs w:val="32"/>
        </w:rPr>
        <w:t>选择一</w:t>
      </w:r>
      <w:r>
        <w:rPr>
          <w:rFonts w:hint="eastAsia" w:ascii="仿宋_GB2312" w:hAnsi="仿宋_GB2312" w:eastAsia="仿宋_GB2312" w:cs="仿宋_GB2312"/>
          <w:b w:val="0"/>
          <w:bCs w:val="0"/>
          <w:kern w:val="2"/>
          <w:szCs w:val="32"/>
        </w:rPr>
        <w:t>宗</w:t>
      </w:r>
      <w:r>
        <w:rPr>
          <w:rFonts w:ascii="仿宋_GB2312" w:hAnsi="仿宋_GB2312" w:eastAsia="仿宋_GB2312" w:cs="仿宋_GB2312"/>
          <w:b w:val="0"/>
          <w:bCs w:val="0"/>
          <w:kern w:val="2"/>
          <w:szCs w:val="32"/>
        </w:rPr>
        <w:t>宅基地进行确权登记。</w:t>
      </w:r>
    </w:p>
    <w:p w14:paraId="3F1DEB97">
      <w:pPr>
        <w:pStyle w:val="3"/>
        <w:widowControl w:val="0"/>
        <w:adjustRightInd w:val="0"/>
        <w:snapToGrid w:val="0"/>
        <w:spacing w:line="580" w:lineRule="exact"/>
        <w:ind w:firstLine="640" w:firstLineChars="200"/>
        <w:jc w:val="both"/>
        <w:rPr>
          <w:rFonts w:hint="eastAsia" w:ascii="仿宋_GB2312" w:hAnsi="仿宋_GB2312" w:eastAsia="仿宋_GB2312" w:cs="仿宋_GB2312"/>
          <w:b w:val="0"/>
          <w:bCs w:val="0"/>
          <w:color w:val="000000"/>
          <w:szCs w:val="32"/>
        </w:rPr>
      </w:pPr>
      <w:r>
        <w:rPr>
          <w:rFonts w:hint="eastAsia" w:ascii="仿宋_GB2312" w:hAnsi="仿宋_GB2312" w:eastAsia="仿宋_GB2312" w:cs="仿宋_GB2312"/>
          <w:b w:val="0"/>
          <w:bCs w:val="0"/>
          <w:color w:val="000000"/>
          <w:szCs w:val="32"/>
        </w:rPr>
        <w:t>因婚嫁关系居住在外村，但户籍仍在本村的，夫妻双方只能选择在其中一方拥有宅基地，申请确权登记。</w:t>
      </w:r>
    </w:p>
    <w:p w14:paraId="22464983">
      <w:pPr>
        <w:widowControl w:val="0"/>
        <w:autoSpaceDE w:val="0"/>
        <w:autoSpaceDN w:val="0"/>
        <w:adjustRightInd w:val="0"/>
        <w:snapToGrid/>
        <w:spacing w:line="580" w:lineRule="exact"/>
        <w:ind w:firstLine="480" w:firstLineChars="200"/>
        <w:jc w:val="both"/>
        <w:rPr>
          <w:rFonts w:hint="eastAsia" w:ascii="仿宋_GB2312" w:hAnsi="仿宋_GB2312" w:eastAsia="仿宋_GB2312" w:cs="仿宋_GB2312"/>
          <w:b w:val="0"/>
          <w:bCs w:val="0"/>
          <w:color w:val="000000"/>
          <w:szCs w:val="32"/>
        </w:rPr>
      </w:pPr>
      <w:r>
        <w:rPr>
          <w:rFonts w:hint="eastAsia" w:ascii="仿宋_GB2312" w:hAnsi="仿宋_GB2312" w:eastAsia="仿宋_GB2312" w:cs="仿宋_GB2312"/>
          <w:b w:val="0"/>
          <w:bCs w:val="0"/>
          <w:color w:val="000000"/>
          <w:szCs w:val="32"/>
        </w:rPr>
        <w:br w:type="page"/>
      </w:r>
    </w:p>
    <w:p w14:paraId="27519BF5">
      <w:pPr>
        <w:widowControl w:val="0"/>
        <w:autoSpaceDE w:val="0"/>
        <w:autoSpaceDN w:val="0"/>
        <w:adjustRightInd w:val="0"/>
        <w:spacing w:line="580" w:lineRule="exact"/>
        <w:ind w:firstLine="640" w:firstLineChars="200"/>
        <w:outlineLvl w:val="1"/>
        <w:rPr>
          <w:rFonts w:hint="eastAsia" w:ascii="楷体_GB2312" w:hAnsi="楷体_GB2312" w:eastAsia="楷体_GB2312" w:cs="楷体_GB2312"/>
          <w:bCs/>
          <w:sz w:val="32"/>
          <w:szCs w:val="32"/>
        </w:rPr>
      </w:pPr>
      <w:r>
        <w:rPr>
          <w:rFonts w:hint="eastAsia" w:ascii="楷体_GB2312" w:hAnsi="楷体_GB2312" w:eastAsia="楷体_GB2312" w:cs="楷体_GB2312"/>
          <w:bCs/>
          <w:sz w:val="32"/>
          <w:szCs w:val="32"/>
        </w:rPr>
        <w:t>（四）依规处理宅基地上房屋属于不同权利人登记问题。</w:t>
      </w:r>
    </w:p>
    <w:p w14:paraId="070D3A68">
      <w:pPr>
        <w:widowControl w:val="0"/>
        <w:autoSpaceDE w:val="0"/>
        <w:autoSpaceDN w:val="0"/>
        <w:adjustRightInd w:val="0"/>
        <w:spacing w:line="580" w:lineRule="exact"/>
        <w:ind w:firstLine="640" w:firstLineChars="200"/>
        <w:rPr>
          <w:rFonts w:hint="eastAsia" w:ascii="仿宋_GB2312" w:hAnsi="仿宋_GB2312" w:eastAsia="仿宋_GB2312" w:cs="仿宋_GB2312"/>
          <w:bCs/>
          <w:sz w:val="32"/>
          <w:szCs w:val="32"/>
        </w:rPr>
      </w:pPr>
      <w:r>
        <w:rPr>
          <w:rFonts w:hint="eastAsia" w:ascii="仿宋_GB2312" w:hAnsi="仿宋_GB2312" w:eastAsia="仿宋_GB2312" w:cs="仿宋_GB2312"/>
          <w:bCs/>
          <w:sz w:val="32"/>
          <w:szCs w:val="32"/>
        </w:rPr>
        <w:t>同一宗宅基地上房屋属于不同权利人应区分不同情形进行处理。</w:t>
      </w:r>
    </w:p>
    <w:p w14:paraId="4749D4C1">
      <w:pPr>
        <w:widowControl w:val="0"/>
        <w:autoSpaceDE w:val="0"/>
        <w:autoSpaceDN w:val="0"/>
        <w:adjustRightInd w:val="0"/>
        <w:spacing w:line="580" w:lineRule="exact"/>
        <w:ind w:firstLine="640" w:firstLineChars="200"/>
        <w:rPr>
          <w:rFonts w:hint="eastAsia" w:ascii="仿宋_GB2312" w:hAnsi="仿宋_GB2312" w:eastAsia="仿宋_GB2312" w:cs="仿宋_GB2312"/>
          <w:bCs/>
          <w:sz w:val="32"/>
          <w:szCs w:val="32"/>
        </w:rPr>
      </w:pPr>
      <w:r>
        <w:rPr>
          <w:rFonts w:hint="eastAsia" w:ascii="仿宋_GB2312" w:hAnsi="仿宋_GB2312" w:eastAsia="仿宋_GB2312" w:cs="仿宋_GB2312"/>
          <w:bCs/>
          <w:sz w:val="32"/>
          <w:szCs w:val="32"/>
        </w:rPr>
        <w:t>因继承、分家析产等原因形成的，若遗嘱或者分家析产协议对宅基地作了明确分割，分割的宅基地经不动产登记机构认定符合不动产单元划定标准，可以分别办理登记；不符合不动产单元划定标准的，按照宅基地使用权共有办理登记。若遗嘱或者分家析产协议对宅基地未作明确分割的，按照宅基地使用权共有办理登记。</w:t>
      </w:r>
    </w:p>
    <w:p w14:paraId="50B33821">
      <w:pPr>
        <w:widowControl w:val="0"/>
        <w:autoSpaceDE w:val="0"/>
        <w:autoSpaceDN w:val="0"/>
        <w:adjustRightInd w:val="0"/>
        <w:spacing w:line="580" w:lineRule="exact"/>
        <w:ind w:firstLine="640" w:firstLineChars="200"/>
        <w:rPr>
          <w:rFonts w:hint="eastAsia" w:ascii="仿宋_GB2312" w:hAnsi="仿宋_GB2312" w:eastAsia="仿宋_GB2312" w:cs="仿宋_GB2312"/>
          <w:bCs/>
          <w:sz w:val="32"/>
          <w:szCs w:val="32"/>
        </w:rPr>
      </w:pPr>
      <w:r>
        <w:rPr>
          <w:rFonts w:hint="eastAsia" w:ascii="仿宋_GB2312" w:hAnsi="仿宋_GB2312" w:eastAsia="仿宋_GB2312" w:cs="仿宋_GB2312"/>
          <w:bCs/>
          <w:sz w:val="32"/>
          <w:szCs w:val="32"/>
        </w:rPr>
        <w:t>因其他原因形成的，符合分户建房条件，当事人同意分割宅基地且分割后符合不动产单元划定标准的，可以分割宅基地后为每户办理登记；不符合不动产单元划定标准的，按照宅基地使用权共有办理登记。</w:t>
      </w:r>
    </w:p>
    <w:p w14:paraId="42426245">
      <w:pPr>
        <w:widowControl w:val="0"/>
        <w:autoSpaceDE w:val="0"/>
        <w:autoSpaceDN w:val="0"/>
        <w:adjustRightInd w:val="0"/>
        <w:spacing w:line="580" w:lineRule="exact"/>
        <w:ind w:firstLine="640" w:firstLineChars="200"/>
        <w:rPr>
          <w:rFonts w:hint="eastAsia" w:ascii="仿宋_GB2312" w:hAnsi="仿宋_GB2312" w:eastAsia="仿宋_GB2312" w:cs="仿宋_GB2312"/>
          <w:bCs/>
          <w:sz w:val="32"/>
          <w:szCs w:val="32"/>
        </w:rPr>
      </w:pPr>
      <w:r>
        <w:rPr>
          <w:rFonts w:hint="eastAsia" w:ascii="仿宋_GB2312" w:hAnsi="仿宋_GB2312" w:eastAsia="仿宋_GB2312" w:cs="仿宋_GB2312"/>
          <w:bCs/>
          <w:sz w:val="32"/>
          <w:szCs w:val="32"/>
        </w:rPr>
        <w:t>属于存在民事纠纷的，待纠纷解决后予以确权登记。</w:t>
      </w:r>
    </w:p>
    <w:p w14:paraId="49B85A10">
      <w:pPr>
        <w:widowControl w:val="0"/>
        <w:autoSpaceDE w:val="0"/>
        <w:autoSpaceDN w:val="0"/>
        <w:adjustRightInd w:val="0"/>
        <w:spacing w:line="580" w:lineRule="exact"/>
        <w:ind w:firstLine="640" w:firstLineChars="200"/>
        <w:outlineLvl w:val="1"/>
        <w:rPr>
          <w:rFonts w:hint="eastAsia" w:ascii="楷体_GB2312" w:hAnsi="楷体_GB2312" w:eastAsia="楷体_GB2312" w:cs="楷体_GB2312"/>
          <w:bCs/>
          <w:sz w:val="32"/>
          <w:szCs w:val="32"/>
        </w:rPr>
      </w:pPr>
      <w:r>
        <w:rPr>
          <w:rFonts w:hint="eastAsia" w:ascii="楷体_GB2312" w:hAnsi="楷体_GB2312" w:eastAsia="楷体_GB2312" w:cs="楷体_GB2312"/>
          <w:bCs/>
          <w:sz w:val="32"/>
          <w:szCs w:val="32"/>
        </w:rPr>
        <w:t>（五）结合实际规范房屋规划或建设材料补办要求</w:t>
      </w:r>
    </w:p>
    <w:p w14:paraId="64003B86">
      <w:pPr>
        <w:widowControl w:val="0"/>
        <w:autoSpaceDE w:val="0"/>
        <w:autoSpaceDN w:val="0"/>
        <w:adjustRightInd w:val="0"/>
        <w:spacing w:line="580" w:lineRule="exact"/>
        <w:ind w:firstLine="640" w:firstLineChars="200"/>
        <w:rPr>
          <w:rFonts w:hint="eastAsia" w:ascii="仿宋_GB2312" w:hAnsi="仿宋_GB2312" w:eastAsia="仿宋_GB2312" w:cs="仿宋_GB2312"/>
          <w:bCs/>
          <w:sz w:val="32"/>
          <w:szCs w:val="32"/>
        </w:rPr>
      </w:pPr>
      <w:r>
        <w:rPr>
          <w:rFonts w:hint="eastAsia" w:ascii="仿宋_GB2312" w:hAnsi="仿宋_GB2312" w:eastAsia="仿宋_GB2312" w:cs="仿宋_GB2312"/>
          <w:bCs/>
          <w:sz w:val="32"/>
          <w:szCs w:val="32"/>
        </w:rPr>
        <w:t>依据房屋建造时所在村庄规划编制及实施情况，分类分阶段明确房屋是否符合规划或建设要求的认定标准。</w:t>
      </w:r>
    </w:p>
    <w:p w14:paraId="04D344BD">
      <w:pPr>
        <w:widowControl w:val="0"/>
        <w:autoSpaceDE w:val="0"/>
        <w:autoSpaceDN w:val="0"/>
        <w:adjustRightInd w:val="0"/>
        <w:spacing w:line="580" w:lineRule="exact"/>
        <w:ind w:firstLine="640" w:firstLineChars="200"/>
        <w:rPr>
          <w:rFonts w:hint="eastAsia" w:ascii="仿宋_GB2312" w:hAnsi="仿宋_GB2312" w:eastAsia="仿宋_GB2312" w:cs="仿宋_GB2312"/>
          <w:bCs/>
          <w:sz w:val="32"/>
          <w:szCs w:val="32"/>
        </w:rPr>
      </w:pPr>
      <w:r>
        <w:rPr>
          <w:rFonts w:hint="eastAsia" w:ascii="仿宋_GB2312" w:hAnsi="仿宋_GB2312" w:eastAsia="仿宋_GB2312" w:cs="仿宋_GB2312"/>
          <w:bCs/>
          <w:sz w:val="32"/>
          <w:szCs w:val="32"/>
        </w:rPr>
        <w:t>经危房改造、抗震节能农宅建设、农房安全隐患排查整治、自建房安全专项整治等专项工作成果认定存在房屋结构安全问题并已纳入整改范围的房屋，整改完成后方可开展登记工作。</w:t>
      </w:r>
    </w:p>
    <w:p w14:paraId="540B6673">
      <w:pPr>
        <w:widowControl w:val="0"/>
        <w:autoSpaceDE w:val="0"/>
        <w:autoSpaceDN w:val="0"/>
        <w:adjustRightInd w:val="0"/>
        <w:spacing w:line="580" w:lineRule="exact"/>
        <w:ind w:firstLine="640" w:firstLineChars="200"/>
        <w:rPr>
          <w:rFonts w:hint="eastAsia" w:ascii="仿宋_GB2312" w:hAnsi="仿宋_GB2312" w:eastAsia="仿宋_GB2312" w:cs="仿宋_GB2312"/>
          <w:bCs/>
          <w:sz w:val="32"/>
          <w:szCs w:val="32"/>
        </w:rPr>
      </w:pPr>
      <w:r>
        <w:rPr>
          <w:rFonts w:hint="eastAsia" w:ascii="仿宋_GB2312" w:hAnsi="仿宋_GB2312" w:eastAsia="仿宋_GB2312" w:cs="仿宋_GB2312"/>
          <w:bCs/>
          <w:sz w:val="32"/>
          <w:szCs w:val="32"/>
        </w:rPr>
        <w:t>在合法取得的宅基地上建造三层及三层以上建筑的，已按规定办理用地、规划及房屋建设审批手续的，按照批准文件记载的内容予以确权登记；无法提供建设手续的，可以按照本细则有关要求先行办理宅基地使用权确权登记。</w:t>
      </w:r>
    </w:p>
    <w:p w14:paraId="0B7E1480">
      <w:pPr>
        <w:widowControl w:val="0"/>
        <w:adjustRightInd w:val="0"/>
        <w:snapToGrid w:val="0"/>
        <w:spacing w:line="580" w:lineRule="exact"/>
        <w:ind w:firstLine="640" w:firstLineChars="200"/>
        <w:jc w:val="both"/>
        <w:outlineLvl w:val="0"/>
        <w:rPr>
          <w:rFonts w:hint="eastAsia" w:ascii="仿宋_GB2312" w:hAnsi="仿宋_GB2312" w:eastAsia="仿宋_GB2312" w:cs="仿宋_GB2312"/>
          <w:b/>
          <w:bCs/>
          <w:sz w:val="32"/>
          <w:szCs w:val="32"/>
        </w:rPr>
      </w:pPr>
      <w:r>
        <w:rPr>
          <w:rFonts w:hint="eastAsia" w:ascii="黑体" w:hAnsi="黑体" w:eastAsia="黑体" w:cs="黑体"/>
          <w:sz w:val="32"/>
          <w:szCs w:val="32"/>
        </w:rPr>
        <w:t>六、不予确权登记的情形</w:t>
      </w:r>
    </w:p>
    <w:p w14:paraId="40B49622">
      <w:pPr>
        <w:pStyle w:val="15"/>
        <w:widowControl w:val="0"/>
        <w:numPr>
          <w:ilvl w:val="0"/>
          <w:numId w:val="3"/>
        </w:numPr>
        <w:adjustRightInd w:val="0"/>
        <w:snapToGrid w:val="0"/>
        <w:spacing w:line="580" w:lineRule="exact"/>
        <w:ind w:left="0" w:firstLine="640"/>
        <w:jc w:val="both"/>
        <w:rPr>
          <w:rFonts w:hint="eastAsia" w:ascii="仿宋_GB2312" w:hAnsi="仿宋_GB2312" w:eastAsia="仿宋_GB2312" w:cs="仿宋_GB2312"/>
          <w:kern w:val="2"/>
          <w:sz w:val="32"/>
          <w:szCs w:val="32"/>
        </w:rPr>
      </w:pPr>
      <w:r>
        <w:rPr>
          <w:rFonts w:hint="eastAsia" w:ascii="仿宋_GB2312" w:hAnsi="仿宋_GB2312" w:eastAsia="仿宋_GB2312" w:cs="仿宋_GB2312"/>
          <w:kern w:val="2"/>
          <w:sz w:val="32"/>
          <w:szCs w:val="32"/>
        </w:rPr>
        <w:t>违反法律、行政法规的;</w:t>
      </w:r>
    </w:p>
    <w:p w14:paraId="481E9F52">
      <w:pPr>
        <w:pStyle w:val="15"/>
        <w:widowControl w:val="0"/>
        <w:numPr>
          <w:ilvl w:val="0"/>
          <w:numId w:val="3"/>
        </w:numPr>
        <w:adjustRightInd w:val="0"/>
        <w:snapToGrid w:val="0"/>
        <w:spacing w:line="580" w:lineRule="exact"/>
        <w:ind w:left="0" w:firstLine="640"/>
        <w:jc w:val="both"/>
        <w:rPr>
          <w:rFonts w:hint="eastAsia" w:ascii="仿宋_GB2312" w:hAnsi="仿宋_GB2312" w:eastAsia="仿宋_GB2312" w:cs="仿宋_GB2312"/>
          <w:kern w:val="2"/>
          <w:sz w:val="32"/>
          <w:szCs w:val="32"/>
        </w:rPr>
      </w:pPr>
      <w:r>
        <w:rPr>
          <w:rFonts w:hint="eastAsia" w:ascii="仿宋_GB2312" w:hAnsi="仿宋_GB2312" w:eastAsia="仿宋_GB2312" w:cs="仿宋_GB2312"/>
          <w:kern w:val="2"/>
          <w:sz w:val="32"/>
          <w:szCs w:val="32"/>
        </w:rPr>
        <w:t>除依法继承外，申请人不符合“一户一宅”规定的；</w:t>
      </w:r>
    </w:p>
    <w:p w14:paraId="315D3E40">
      <w:pPr>
        <w:pStyle w:val="15"/>
        <w:widowControl w:val="0"/>
        <w:numPr>
          <w:ilvl w:val="0"/>
          <w:numId w:val="3"/>
        </w:numPr>
        <w:adjustRightInd w:val="0"/>
        <w:snapToGrid w:val="0"/>
        <w:spacing w:line="580" w:lineRule="exact"/>
        <w:ind w:left="0" w:firstLine="640"/>
        <w:jc w:val="both"/>
        <w:rPr>
          <w:rFonts w:hint="eastAsia" w:ascii="仿宋_GB2312" w:hAnsi="仿宋_GB2312" w:eastAsia="仿宋_GB2312" w:cs="仿宋_GB2312"/>
          <w:kern w:val="2"/>
          <w:sz w:val="32"/>
          <w:szCs w:val="32"/>
        </w:rPr>
      </w:pPr>
      <w:r>
        <w:rPr>
          <w:rFonts w:hint="eastAsia" w:ascii="仿宋_GB2312" w:hAnsi="仿宋_GB2312" w:eastAsia="仿宋_GB2312" w:cs="仿宋_GB2312"/>
          <w:sz w:val="32"/>
          <w:szCs w:val="32"/>
        </w:rPr>
        <w:t>存在尚未解决的权属争议的；</w:t>
      </w:r>
    </w:p>
    <w:p w14:paraId="5DA7122D">
      <w:pPr>
        <w:pStyle w:val="15"/>
        <w:widowControl w:val="0"/>
        <w:numPr>
          <w:ilvl w:val="0"/>
          <w:numId w:val="3"/>
        </w:numPr>
        <w:adjustRightInd w:val="0"/>
        <w:snapToGrid w:val="0"/>
        <w:spacing w:line="580" w:lineRule="exact"/>
        <w:ind w:left="0" w:firstLine="640"/>
        <w:jc w:val="both"/>
        <w:rPr>
          <w:rFonts w:hint="eastAsia" w:ascii="仿宋_GB2312" w:hAnsi="仿宋_GB2312" w:eastAsia="仿宋_GB2312" w:cs="仿宋_GB2312"/>
          <w:kern w:val="2"/>
          <w:sz w:val="32"/>
          <w:szCs w:val="32"/>
        </w:rPr>
      </w:pPr>
      <w:r>
        <w:rPr>
          <w:rFonts w:ascii="仿宋_GB2312" w:hAnsi="仿宋_GB2312" w:eastAsia="仿宋_GB2312" w:cs="仿宋_GB2312"/>
          <w:kern w:val="2"/>
          <w:sz w:val="32"/>
          <w:szCs w:val="32"/>
        </w:rPr>
        <w:t>空闲或房屋坍塌、拆除两年以上未恢复使用的宅基地；</w:t>
      </w:r>
    </w:p>
    <w:p w14:paraId="484D5634">
      <w:pPr>
        <w:pStyle w:val="15"/>
        <w:widowControl w:val="0"/>
        <w:numPr>
          <w:ilvl w:val="0"/>
          <w:numId w:val="3"/>
        </w:numPr>
        <w:adjustRightInd w:val="0"/>
        <w:snapToGrid w:val="0"/>
        <w:spacing w:line="580" w:lineRule="exact"/>
        <w:ind w:left="0" w:firstLine="640"/>
        <w:jc w:val="both"/>
        <w:rPr>
          <w:rFonts w:hint="eastAsia" w:ascii="仿宋_GB2312" w:hAnsi="仿宋_GB2312" w:eastAsia="仿宋_GB2312" w:cs="仿宋_GB2312"/>
          <w:kern w:val="2"/>
          <w:sz w:val="32"/>
          <w:szCs w:val="32"/>
        </w:rPr>
      </w:pPr>
      <w:r>
        <w:rPr>
          <w:rFonts w:hint="eastAsia" w:ascii="仿宋_GB2312" w:hAnsi="仿宋_GB2312" w:eastAsia="仿宋_GB2312" w:cs="仿宋_GB2312"/>
          <w:kern w:val="2"/>
          <w:sz w:val="32"/>
          <w:szCs w:val="32"/>
        </w:rPr>
        <w:t>农村简易房、圈舍、农具房、厕所等临时性建（构）筑物，没有规划或者建设的相关材料；</w:t>
      </w:r>
    </w:p>
    <w:p w14:paraId="04EE8D3B">
      <w:pPr>
        <w:pStyle w:val="15"/>
        <w:widowControl w:val="0"/>
        <w:numPr>
          <w:ilvl w:val="0"/>
          <w:numId w:val="3"/>
        </w:numPr>
        <w:adjustRightInd w:val="0"/>
        <w:snapToGrid w:val="0"/>
        <w:spacing w:line="580" w:lineRule="exact"/>
        <w:ind w:left="0" w:firstLine="640"/>
        <w:jc w:val="both"/>
        <w:rPr>
          <w:rFonts w:hint="eastAsia" w:ascii="仿宋_GB2312" w:hAnsi="仿宋_GB2312" w:eastAsia="仿宋_GB2312" w:cs="仿宋_GB2312"/>
          <w:kern w:val="2"/>
          <w:sz w:val="32"/>
          <w:szCs w:val="32"/>
        </w:rPr>
      </w:pPr>
      <w:r>
        <w:rPr>
          <w:rFonts w:hint="eastAsia" w:ascii="仿宋_GB2312" w:hAnsi="Segoe UI" w:eastAsia="仿宋_GB2312" w:cs="Segoe UI"/>
          <w:sz w:val="32"/>
          <w:szCs w:val="32"/>
          <w:shd w:val="clear" w:color="auto" w:fill="FFFFFF"/>
        </w:rPr>
        <w:t>对乱占耕地建房、违反国土空间规划管控要求建房；</w:t>
      </w:r>
    </w:p>
    <w:p w14:paraId="009A11EE">
      <w:pPr>
        <w:pStyle w:val="15"/>
        <w:widowControl w:val="0"/>
        <w:numPr>
          <w:ilvl w:val="0"/>
          <w:numId w:val="3"/>
        </w:numPr>
        <w:adjustRightInd w:val="0"/>
        <w:snapToGrid w:val="0"/>
        <w:spacing w:line="580" w:lineRule="exact"/>
        <w:ind w:left="0" w:firstLine="640"/>
        <w:jc w:val="both"/>
        <w:rPr>
          <w:rFonts w:hint="eastAsia" w:ascii="仿宋_GB2312" w:hAnsi="仿宋_GB2312" w:eastAsia="仿宋_GB2312" w:cs="仿宋_GB2312"/>
          <w:kern w:val="2"/>
          <w:sz w:val="32"/>
          <w:szCs w:val="32"/>
        </w:rPr>
      </w:pPr>
      <w:r>
        <w:rPr>
          <w:rFonts w:hint="eastAsia" w:ascii="仿宋_GB2312" w:hAnsi="仿宋_GB2312" w:eastAsia="仿宋_GB2312" w:cs="仿宋_GB2312"/>
          <w:kern w:val="2"/>
          <w:sz w:val="32"/>
          <w:szCs w:val="32"/>
        </w:rPr>
        <w:t>非经济组织成员或</w:t>
      </w:r>
      <w:r>
        <w:rPr>
          <w:rFonts w:ascii="仿宋_GB2312" w:hAnsi="仿宋_GB2312" w:eastAsia="仿宋_GB2312" w:cs="仿宋_GB2312"/>
          <w:kern w:val="2"/>
          <w:sz w:val="32"/>
          <w:szCs w:val="32"/>
        </w:rPr>
        <w:t>城镇居民非法</w:t>
      </w:r>
      <w:r>
        <w:rPr>
          <w:rFonts w:hint="eastAsia" w:ascii="仿宋_GB2312" w:hAnsi="仿宋_GB2312" w:eastAsia="仿宋_GB2312" w:cs="仿宋_GB2312"/>
          <w:kern w:val="2"/>
          <w:sz w:val="32"/>
          <w:szCs w:val="32"/>
        </w:rPr>
        <w:t>占用宅基地建造房屋、购买农房、宅基地或“小产权房”的；</w:t>
      </w:r>
    </w:p>
    <w:p w14:paraId="03AAADF6">
      <w:pPr>
        <w:pStyle w:val="15"/>
        <w:widowControl w:val="0"/>
        <w:numPr>
          <w:ilvl w:val="0"/>
          <w:numId w:val="3"/>
        </w:numPr>
        <w:adjustRightInd w:val="0"/>
        <w:snapToGrid w:val="0"/>
        <w:spacing w:line="580" w:lineRule="exact"/>
        <w:ind w:left="0" w:firstLine="640"/>
        <w:jc w:val="both"/>
        <w:rPr>
          <w:rFonts w:hint="eastAsia" w:ascii="仿宋_GB2312" w:hAnsi="仿宋_GB2312" w:eastAsia="仿宋_GB2312" w:cs="仿宋_GB2312"/>
          <w:kern w:val="2"/>
          <w:sz w:val="32"/>
          <w:szCs w:val="32"/>
        </w:rPr>
      </w:pPr>
      <w:r>
        <w:rPr>
          <w:rFonts w:hint="eastAsia" w:ascii="仿宋_GB2312" w:hAnsi="仿宋_GB2312" w:eastAsia="仿宋_GB2312" w:cs="仿宋_GB2312"/>
          <w:kern w:val="2"/>
          <w:sz w:val="32"/>
          <w:szCs w:val="32"/>
        </w:rPr>
        <w:t>宅基地上存在的违法违规行为尚未处理或正在处理的；</w:t>
      </w:r>
    </w:p>
    <w:p w14:paraId="1B78B4B8">
      <w:pPr>
        <w:pStyle w:val="15"/>
        <w:widowControl w:val="0"/>
        <w:numPr>
          <w:ilvl w:val="0"/>
          <w:numId w:val="3"/>
        </w:numPr>
        <w:adjustRightInd w:val="0"/>
        <w:snapToGrid w:val="0"/>
        <w:spacing w:line="580" w:lineRule="exact"/>
        <w:ind w:left="0" w:firstLine="640"/>
        <w:jc w:val="both"/>
        <w:rPr>
          <w:rFonts w:hint="eastAsia" w:ascii="仿宋_GB2312" w:hAnsi="仿宋_GB2312" w:eastAsia="仿宋_GB2312" w:cs="仿宋_GB2312"/>
          <w:kern w:val="2"/>
          <w:sz w:val="32"/>
          <w:szCs w:val="32"/>
        </w:rPr>
      </w:pPr>
      <w:r>
        <w:rPr>
          <w:rFonts w:hint="eastAsia" w:ascii="仿宋_GB2312" w:hAnsi="仿宋_GB2312" w:eastAsia="仿宋_GB2312" w:cs="仿宋_GB2312"/>
          <w:kern w:val="2"/>
          <w:sz w:val="32"/>
          <w:szCs w:val="32"/>
        </w:rPr>
        <w:t>法律、行政法规规定的不予登记的其他情形。</w:t>
      </w:r>
    </w:p>
    <w:p w14:paraId="65FD7572">
      <w:pPr>
        <w:widowControl w:val="0"/>
        <w:adjustRightInd w:val="0"/>
        <w:snapToGrid w:val="0"/>
        <w:spacing w:line="580" w:lineRule="exact"/>
        <w:jc w:val="both"/>
        <w:rPr>
          <w:rFonts w:hint="eastAsia" w:ascii="仿宋_GB2312" w:hAnsi="仿宋_GB2312" w:eastAsia="仿宋_GB2312" w:cs="仿宋_GB2312"/>
          <w:color w:val="000000"/>
          <w:sz w:val="31"/>
          <w:szCs w:val="31"/>
        </w:rPr>
      </w:pPr>
    </w:p>
    <w:p w14:paraId="36A9850F">
      <w:pPr>
        <w:spacing w:line="58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附件：1.《房地一体宅基地确权</w:t>
      </w:r>
      <w:r>
        <w:rPr>
          <w:rFonts w:hint="eastAsia" w:ascii="仿宋_GB2312" w:hAnsi="仿宋_GB2312" w:eastAsia="仿宋_GB2312" w:cs="仿宋_GB2312"/>
          <w:sz w:val="32"/>
          <w:szCs w:val="32"/>
          <w:lang w:val="en-US" w:eastAsia="zh-CN"/>
        </w:rPr>
        <w:t>审核表</w:t>
      </w:r>
      <w:r>
        <w:rPr>
          <w:rFonts w:hint="eastAsia" w:ascii="仿宋_GB2312" w:hAnsi="仿宋_GB2312" w:eastAsia="仿宋_GB2312" w:cs="仿宋_GB2312"/>
          <w:sz w:val="32"/>
          <w:szCs w:val="32"/>
        </w:rPr>
        <w:t>》</w:t>
      </w:r>
    </w:p>
    <w:p w14:paraId="412C52C9">
      <w:pPr>
        <w:numPr>
          <w:ilvl w:val="0"/>
          <w:numId w:val="4"/>
        </w:numPr>
        <w:spacing w:line="580" w:lineRule="exact"/>
        <w:ind w:firstLine="1600" w:firstLineChars="5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《房屋土地权属来源情况核实证明》</w:t>
      </w:r>
    </w:p>
    <w:p w14:paraId="67B5BFDF">
      <w:pPr>
        <w:keepNext w:val="0"/>
        <w:keepLines w:val="0"/>
        <w:widowControl/>
        <w:suppressLineNumbers w:val="0"/>
        <w:jc w:val="left"/>
        <w:rPr>
          <w:rFonts w:hint="eastAsia" w:ascii="仿宋_GB2312" w:hAnsi="宋体" w:eastAsia="仿宋_GB2312" w:cs="仿宋_GB2312"/>
          <w:color w:val="000000"/>
          <w:kern w:val="0"/>
          <w:sz w:val="31"/>
          <w:szCs w:val="31"/>
          <w:lang w:val="en-US" w:eastAsia="zh-CN" w:bidi="ar"/>
        </w:rPr>
      </w:pPr>
    </w:p>
    <w:p w14:paraId="695DE23F">
      <w:pPr>
        <w:keepNext w:val="0"/>
        <w:keepLines w:val="0"/>
        <w:widowControl/>
        <w:suppressLineNumbers w:val="0"/>
        <w:spacing w:line="580" w:lineRule="exact"/>
        <w:ind w:firstLine="620" w:firstLineChars="200"/>
        <w:jc w:val="left"/>
      </w:pPr>
      <w:r>
        <w:rPr>
          <w:rFonts w:hint="eastAsia" w:ascii="仿宋_GB2312" w:hAnsi="宋体" w:eastAsia="仿宋_GB2312" w:cs="仿宋_GB2312"/>
          <w:color w:val="000000"/>
          <w:kern w:val="0"/>
          <w:sz w:val="31"/>
          <w:szCs w:val="31"/>
          <w:lang w:val="en-US" w:eastAsia="zh-CN" w:bidi="ar"/>
        </w:rPr>
        <w:t>本细则仅适用于现阶段以“总调查、总登记”模式开展的房地一体宅基地地籍调查和确权登记工作，自印发之日起实施，在</w:t>
      </w:r>
      <w:r>
        <w:rPr>
          <w:rFonts w:ascii="仿宋_GB2312" w:hAnsi="宋体" w:eastAsia="仿宋_GB2312" w:cs="仿宋_GB2312"/>
          <w:color w:val="000000"/>
          <w:kern w:val="0"/>
          <w:sz w:val="31"/>
          <w:szCs w:val="31"/>
          <w:lang w:val="en-US" w:eastAsia="zh-CN" w:bidi="ar"/>
        </w:rPr>
        <w:t>专项工作结束后自动失</w:t>
      </w:r>
      <w:r>
        <w:rPr>
          <w:rFonts w:hint="eastAsia" w:ascii="仿宋_GB2312" w:hAnsi="宋体" w:eastAsia="仿宋_GB2312" w:cs="仿宋_GB2312"/>
          <w:color w:val="000000"/>
          <w:kern w:val="0"/>
          <w:sz w:val="31"/>
          <w:szCs w:val="31"/>
          <w:lang w:val="en-US" w:eastAsia="zh-CN" w:bidi="ar"/>
        </w:rPr>
        <w:t>效。</w:t>
      </w:r>
    </w:p>
    <w:bookmarkEnd w:id="4"/>
    <w:p w14:paraId="33F48F22">
      <w:pPr>
        <w:numPr>
          <w:ilvl w:val="-1"/>
          <w:numId w:val="0"/>
        </w:numPr>
        <w:spacing w:line="580" w:lineRule="exact"/>
        <w:ind w:firstLine="0" w:firstLineChars="0"/>
        <w:rPr>
          <w:rFonts w:hint="eastAsia" w:ascii="仿宋_GB2312" w:hAnsi="仿宋_GB2312" w:eastAsia="仿宋_GB2312" w:cs="仿宋_GB2312"/>
          <w:sz w:val="32"/>
          <w:szCs w:val="32"/>
        </w:rPr>
      </w:pPr>
    </w:p>
    <w:p w14:paraId="1DCFD4B7">
      <w:pPr>
        <w:numPr>
          <w:ilvl w:val="-1"/>
          <w:numId w:val="0"/>
        </w:numPr>
        <w:spacing w:line="580" w:lineRule="exact"/>
        <w:ind w:firstLine="0" w:firstLineChars="0"/>
        <w:rPr>
          <w:rFonts w:hint="eastAsia" w:ascii="仿宋_GB2312" w:hAnsi="仿宋_GB2312" w:eastAsia="仿宋_GB2312" w:cs="仿宋_GB2312"/>
          <w:sz w:val="32"/>
          <w:szCs w:val="32"/>
        </w:rPr>
      </w:pPr>
    </w:p>
    <w:p w14:paraId="0F6918FA">
      <w:pPr>
        <w:spacing w:line="580" w:lineRule="exact"/>
        <w:ind w:firstLine="1600" w:firstLineChars="500"/>
        <w:rPr>
          <w:rFonts w:hint="eastAsia" w:ascii="仿宋_GB2312" w:hAnsi="仿宋_GB2312" w:eastAsia="仿宋_GB2312" w:cs="仿宋_GB2312"/>
          <w:sz w:val="32"/>
          <w:szCs w:val="32"/>
          <w:lang w:val="zh-CN"/>
        </w:rPr>
        <w:sectPr>
          <w:footerReference r:id="rId3" w:type="default"/>
          <w:pgSz w:w="11906" w:h="16838"/>
          <w:pgMar w:top="1587" w:right="1474" w:bottom="1474" w:left="1587" w:header="851" w:footer="992" w:gutter="0"/>
          <w:pgNumType w:start="1"/>
          <w:cols w:space="720" w:num="1"/>
          <w:docGrid w:type="lines" w:linePitch="312" w:charSpace="0"/>
        </w:sectPr>
      </w:pPr>
    </w:p>
    <w:p w14:paraId="4D7E4D23">
      <w:pPr>
        <w:adjustRightInd w:val="0"/>
        <w:snapToGrid w:val="0"/>
        <w:spacing w:line="540" w:lineRule="exact"/>
        <w:rPr>
          <w:rFonts w:hint="eastAsia" w:ascii="黑体" w:hAnsi="黑体" w:eastAsia="黑体" w:cs="黑体"/>
          <w:sz w:val="32"/>
          <w:szCs w:val="32"/>
        </w:rPr>
      </w:pPr>
      <w:r>
        <w:rPr>
          <w:rFonts w:hint="eastAsia" w:ascii="黑体" w:hAnsi="黑体" w:eastAsia="黑体" w:cs="黑体"/>
          <w:sz w:val="32"/>
          <w:szCs w:val="32"/>
        </w:rPr>
        <w:t>附件1</w:t>
      </w:r>
    </w:p>
    <w:p w14:paraId="701C38C3">
      <w:pPr>
        <w:jc w:val="center"/>
        <w:textAlignment w:val="center"/>
        <w:rPr>
          <w:rFonts w:hint="eastAsia" w:ascii="黑体" w:hAnsi="黑体" w:eastAsia="黑体" w:cs="宋体"/>
          <w:color w:val="000000"/>
          <w:sz w:val="32"/>
          <w:szCs w:val="32"/>
        </w:rPr>
      </w:pPr>
      <w:r>
        <w:rPr>
          <w:rFonts w:hint="eastAsia" w:ascii="黑体" w:hAnsi="黑体" w:eastAsia="黑体" w:cs="宋体"/>
          <w:color w:val="000000"/>
          <w:sz w:val="32"/>
          <w:szCs w:val="32"/>
          <w:lang w:bidi="ar"/>
        </w:rPr>
        <w:t>门头沟区______镇______村房地一体宅基地确权审核表</w:t>
      </w:r>
    </w:p>
    <w:p w14:paraId="15610E7F">
      <w:pPr>
        <w:jc w:val="right"/>
        <w:textAlignment w:val="center"/>
        <w:rPr>
          <w:rStyle w:val="13"/>
          <w:rFonts w:hint="default"/>
          <w:sz w:val="24"/>
          <w:szCs w:val="24"/>
          <w:lang w:bidi="ar"/>
        </w:rPr>
      </w:pPr>
      <w:r>
        <w:rPr>
          <w:rStyle w:val="13"/>
          <w:rFonts w:hint="default"/>
          <w:sz w:val="24"/>
          <w:szCs w:val="24"/>
          <w:lang w:bidi="ar"/>
        </w:rPr>
        <w:t>单位：平方米</w:t>
      </w:r>
    </w:p>
    <w:tbl>
      <w:tblPr>
        <w:tblStyle w:val="9"/>
        <w:tblW w:w="13992" w:type="dxa"/>
        <w:tblInd w:w="0" w:type="dxa"/>
        <w:tblLayout w:type="fixed"/>
        <w:tblCellMar>
          <w:top w:w="0" w:type="dxa"/>
          <w:left w:w="108" w:type="dxa"/>
          <w:bottom w:w="0" w:type="dxa"/>
          <w:right w:w="108" w:type="dxa"/>
        </w:tblCellMar>
      </w:tblPr>
      <w:tblGrid>
        <w:gridCol w:w="633"/>
        <w:gridCol w:w="844"/>
        <w:gridCol w:w="1059"/>
        <w:gridCol w:w="632"/>
        <w:gridCol w:w="843"/>
        <w:gridCol w:w="1570"/>
        <w:gridCol w:w="1259"/>
        <w:gridCol w:w="1128"/>
        <w:gridCol w:w="1234"/>
        <w:gridCol w:w="1077"/>
        <w:gridCol w:w="1438"/>
        <w:gridCol w:w="1405"/>
        <w:gridCol w:w="870"/>
      </w:tblGrid>
      <w:tr w14:paraId="1394D7A9">
        <w:tblPrEx>
          <w:tblCellMar>
            <w:top w:w="0" w:type="dxa"/>
            <w:left w:w="108" w:type="dxa"/>
            <w:bottom w:w="0" w:type="dxa"/>
            <w:right w:w="108" w:type="dxa"/>
          </w:tblCellMar>
        </w:tblPrEx>
        <w:trPr>
          <w:trHeight w:val="1000" w:hRule="atLeast"/>
        </w:trPr>
        <w:tc>
          <w:tcPr>
            <w:tcW w:w="633" w:type="dxa"/>
            <w:tcBorders>
              <w:top w:val="single" w:color="auto" w:sz="4" w:space="0"/>
              <w:left w:val="single" w:color="auto" w:sz="4" w:space="0"/>
              <w:bottom w:val="single" w:color="auto" w:sz="4" w:space="0"/>
              <w:right w:val="single" w:color="auto" w:sz="4" w:space="0"/>
            </w:tcBorders>
            <w:vAlign w:val="center"/>
          </w:tcPr>
          <w:p w14:paraId="64C9C84E">
            <w:pPr>
              <w:jc w:val="center"/>
              <w:textAlignment w:val="center"/>
              <w:rPr>
                <w:rFonts w:hint="eastAsia" w:ascii="黑体" w:hAnsi="黑体" w:eastAsia="黑体" w:cs="Times New Roman"/>
                <w:color w:val="000000"/>
                <w:kern w:val="2"/>
                <w:sz w:val="20"/>
                <w:szCs w:val="20"/>
              </w:rPr>
            </w:pPr>
            <w:r>
              <w:rPr>
                <w:rFonts w:hint="eastAsia" w:ascii="黑体" w:hAnsi="黑体" w:eastAsia="黑体" w:cs="Times New Roman"/>
                <w:color w:val="000000"/>
                <w:sz w:val="20"/>
                <w:szCs w:val="20"/>
              </w:rPr>
              <w:t>序号</w:t>
            </w:r>
          </w:p>
        </w:tc>
        <w:tc>
          <w:tcPr>
            <w:tcW w:w="844" w:type="dxa"/>
            <w:tcBorders>
              <w:top w:val="single" w:color="auto" w:sz="4" w:space="0"/>
              <w:left w:val="single" w:color="auto" w:sz="4" w:space="0"/>
              <w:bottom w:val="single" w:color="auto" w:sz="4" w:space="0"/>
              <w:right w:val="single" w:color="auto" w:sz="4" w:space="0"/>
            </w:tcBorders>
            <w:vAlign w:val="center"/>
          </w:tcPr>
          <w:p w14:paraId="0C35A5A8">
            <w:pPr>
              <w:jc w:val="center"/>
              <w:textAlignment w:val="center"/>
              <w:rPr>
                <w:rFonts w:hint="eastAsia" w:ascii="黑体" w:hAnsi="黑体" w:eastAsia="黑体" w:cs="Times New Roman"/>
                <w:color w:val="000000"/>
                <w:kern w:val="2"/>
                <w:sz w:val="20"/>
                <w:szCs w:val="20"/>
              </w:rPr>
            </w:pPr>
            <w:r>
              <w:rPr>
                <w:rFonts w:hint="eastAsia" w:ascii="黑体" w:hAnsi="黑体" w:eastAsia="黑体" w:cs="Times New Roman"/>
                <w:color w:val="000000"/>
                <w:sz w:val="20"/>
                <w:szCs w:val="20"/>
              </w:rPr>
              <w:t>权利人</w:t>
            </w:r>
          </w:p>
        </w:tc>
        <w:tc>
          <w:tcPr>
            <w:tcW w:w="1059" w:type="dxa"/>
            <w:tcBorders>
              <w:top w:val="single" w:color="auto" w:sz="4" w:space="0"/>
              <w:left w:val="single" w:color="auto" w:sz="4" w:space="0"/>
              <w:bottom w:val="single" w:color="auto" w:sz="4" w:space="0"/>
              <w:right w:val="single" w:color="auto" w:sz="4" w:space="0"/>
            </w:tcBorders>
            <w:vAlign w:val="center"/>
          </w:tcPr>
          <w:p w14:paraId="77F92CFD">
            <w:pPr>
              <w:jc w:val="center"/>
              <w:textAlignment w:val="center"/>
              <w:rPr>
                <w:rFonts w:hint="eastAsia" w:ascii="黑体" w:hAnsi="黑体" w:eastAsia="黑体" w:cs="Times New Roman"/>
                <w:color w:val="000000"/>
                <w:kern w:val="2"/>
                <w:sz w:val="20"/>
                <w:szCs w:val="20"/>
              </w:rPr>
            </w:pPr>
            <w:r>
              <w:rPr>
                <w:rFonts w:hint="eastAsia" w:ascii="黑体" w:hAnsi="黑体" w:eastAsia="黑体" w:cs="Times New Roman"/>
                <w:color w:val="000000"/>
                <w:sz w:val="20"/>
                <w:szCs w:val="20"/>
              </w:rPr>
              <w:t>宗地代码</w:t>
            </w:r>
          </w:p>
        </w:tc>
        <w:tc>
          <w:tcPr>
            <w:tcW w:w="632" w:type="dxa"/>
            <w:tcBorders>
              <w:top w:val="single" w:color="auto" w:sz="4" w:space="0"/>
              <w:left w:val="single" w:color="auto" w:sz="4" w:space="0"/>
              <w:bottom w:val="single" w:color="auto" w:sz="4" w:space="0"/>
              <w:right w:val="single" w:color="auto" w:sz="4" w:space="0"/>
            </w:tcBorders>
            <w:vAlign w:val="center"/>
          </w:tcPr>
          <w:p w14:paraId="3EC4FCB3">
            <w:pPr>
              <w:jc w:val="center"/>
              <w:textAlignment w:val="center"/>
              <w:rPr>
                <w:rFonts w:hint="eastAsia" w:ascii="黑体" w:hAnsi="黑体" w:eastAsia="黑体" w:cs="Times New Roman"/>
                <w:color w:val="000000"/>
                <w:kern w:val="2"/>
                <w:sz w:val="20"/>
                <w:szCs w:val="20"/>
              </w:rPr>
            </w:pPr>
            <w:r>
              <w:rPr>
                <w:rFonts w:hint="eastAsia" w:ascii="黑体" w:hAnsi="黑体" w:eastAsia="黑体" w:cs="Times New Roman"/>
                <w:color w:val="000000"/>
                <w:sz w:val="20"/>
                <w:szCs w:val="20"/>
              </w:rPr>
              <w:t>坐落</w:t>
            </w:r>
          </w:p>
        </w:tc>
        <w:tc>
          <w:tcPr>
            <w:tcW w:w="843" w:type="dxa"/>
            <w:tcBorders>
              <w:top w:val="single" w:color="auto" w:sz="4" w:space="0"/>
              <w:left w:val="single" w:color="auto" w:sz="4" w:space="0"/>
              <w:bottom w:val="single" w:color="auto" w:sz="4" w:space="0"/>
              <w:right w:val="single" w:color="auto" w:sz="4" w:space="0"/>
            </w:tcBorders>
            <w:vAlign w:val="center"/>
          </w:tcPr>
          <w:p w14:paraId="3FF05158">
            <w:pPr>
              <w:jc w:val="center"/>
              <w:textAlignment w:val="center"/>
              <w:rPr>
                <w:rFonts w:hint="eastAsia" w:ascii="黑体" w:hAnsi="黑体" w:eastAsia="黑体" w:cs="Times New Roman"/>
                <w:color w:val="000000"/>
                <w:kern w:val="2"/>
                <w:sz w:val="20"/>
                <w:szCs w:val="20"/>
              </w:rPr>
            </w:pPr>
            <w:r>
              <w:rPr>
                <w:rFonts w:hint="eastAsia" w:ascii="黑体" w:hAnsi="黑体" w:eastAsia="黑体" w:cs="Times New Roman"/>
                <w:color w:val="000000"/>
                <w:sz w:val="20"/>
                <w:szCs w:val="20"/>
              </w:rPr>
              <w:t>户成员</w:t>
            </w:r>
          </w:p>
        </w:tc>
        <w:tc>
          <w:tcPr>
            <w:tcW w:w="1570" w:type="dxa"/>
            <w:tcBorders>
              <w:top w:val="single" w:color="auto" w:sz="4" w:space="0"/>
              <w:left w:val="single" w:color="auto" w:sz="4" w:space="0"/>
              <w:bottom w:val="single" w:color="auto" w:sz="4" w:space="0"/>
              <w:right w:val="single" w:color="auto" w:sz="4" w:space="0"/>
            </w:tcBorders>
            <w:vAlign w:val="center"/>
          </w:tcPr>
          <w:p w14:paraId="3B38D6F6">
            <w:pPr>
              <w:jc w:val="center"/>
              <w:textAlignment w:val="center"/>
              <w:rPr>
                <w:rFonts w:hint="eastAsia" w:ascii="黑体" w:hAnsi="黑体" w:eastAsia="黑体" w:cs="Times New Roman"/>
                <w:color w:val="000000"/>
                <w:sz w:val="20"/>
                <w:szCs w:val="20"/>
              </w:rPr>
            </w:pPr>
            <w:r>
              <w:rPr>
                <w:rFonts w:hint="eastAsia" w:ascii="黑体" w:hAnsi="黑体" w:eastAsia="黑体" w:cs="Times New Roman"/>
                <w:color w:val="000000"/>
                <w:sz w:val="20"/>
                <w:szCs w:val="20"/>
              </w:rPr>
              <w:t>是否为本村</w:t>
            </w:r>
          </w:p>
          <w:p w14:paraId="1402F3B1">
            <w:pPr>
              <w:jc w:val="center"/>
              <w:textAlignment w:val="center"/>
              <w:rPr>
                <w:rFonts w:hint="eastAsia" w:ascii="黑体" w:hAnsi="黑体" w:eastAsia="黑体" w:cs="Times New Roman"/>
                <w:color w:val="000000"/>
                <w:kern w:val="2"/>
                <w:sz w:val="20"/>
                <w:szCs w:val="20"/>
              </w:rPr>
            </w:pPr>
            <w:r>
              <w:rPr>
                <w:rFonts w:hint="eastAsia" w:ascii="黑体" w:hAnsi="黑体" w:eastAsia="黑体" w:cs="Times New Roman"/>
                <w:color w:val="000000"/>
                <w:sz w:val="20"/>
                <w:szCs w:val="20"/>
              </w:rPr>
              <w:t>经济组织成员</w:t>
            </w:r>
          </w:p>
        </w:tc>
        <w:tc>
          <w:tcPr>
            <w:tcW w:w="1259" w:type="dxa"/>
            <w:tcBorders>
              <w:top w:val="single" w:color="auto" w:sz="4" w:space="0"/>
              <w:left w:val="single" w:color="auto" w:sz="4" w:space="0"/>
              <w:bottom w:val="single" w:color="auto" w:sz="4" w:space="0"/>
              <w:right w:val="single" w:color="auto" w:sz="4" w:space="0"/>
            </w:tcBorders>
            <w:vAlign w:val="center"/>
          </w:tcPr>
          <w:p w14:paraId="0FBAC697">
            <w:pPr>
              <w:adjustRightInd w:val="0"/>
              <w:snapToGrid w:val="0"/>
              <w:jc w:val="center"/>
              <w:textAlignment w:val="center"/>
              <w:rPr>
                <w:rFonts w:hint="eastAsia" w:ascii="黑体" w:hAnsi="黑体" w:eastAsia="黑体" w:cs="Times New Roman"/>
                <w:color w:val="000000"/>
                <w:sz w:val="20"/>
                <w:szCs w:val="20"/>
                <w:lang w:val="en-US" w:eastAsia="zh-CN"/>
              </w:rPr>
            </w:pPr>
            <w:r>
              <w:rPr>
                <w:rFonts w:hint="eastAsia" w:ascii="黑体" w:hAnsi="黑体" w:eastAsia="黑体" w:cs="Times New Roman"/>
                <w:color w:val="000000"/>
                <w:sz w:val="20"/>
                <w:szCs w:val="20"/>
                <w:lang w:val="en-US" w:eastAsia="zh-CN"/>
              </w:rPr>
              <w:t>建房用地</w:t>
            </w:r>
          </w:p>
          <w:p w14:paraId="1CD61314">
            <w:pPr>
              <w:adjustRightInd w:val="0"/>
              <w:snapToGrid w:val="0"/>
              <w:jc w:val="center"/>
              <w:textAlignment w:val="center"/>
              <w:rPr>
                <w:rFonts w:hint="eastAsia" w:ascii="黑体" w:hAnsi="黑体" w:eastAsia="黑体" w:cs="Times New Roman"/>
                <w:color w:val="000000"/>
                <w:kern w:val="2"/>
                <w:sz w:val="20"/>
                <w:szCs w:val="20"/>
              </w:rPr>
            </w:pPr>
            <w:r>
              <w:rPr>
                <w:rFonts w:hint="eastAsia" w:ascii="黑体" w:hAnsi="黑体" w:eastAsia="黑体" w:cs="Times New Roman"/>
                <w:color w:val="000000"/>
                <w:sz w:val="20"/>
                <w:szCs w:val="20"/>
                <w:lang w:val="en-US" w:eastAsia="zh-CN"/>
              </w:rPr>
              <w:t>标准</w:t>
            </w:r>
            <w:r>
              <w:rPr>
                <w:rFonts w:hint="eastAsia" w:ascii="黑体" w:hAnsi="黑体" w:eastAsia="黑体" w:cs="Times New Roman"/>
                <w:color w:val="000000"/>
                <w:sz w:val="20"/>
                <w:szCs w:val="20"/>
              </w:rPr>
              <w:t>面积</w:t>
            </w:r>
          </w:p>
        </w:tc>
        <w:tc>
          <w:tcPr>
            <w:tcW w:w="1128" w:type="dxa"/>
            <w:tcBorders>
              <w:top w:val="single" w:color="auto" w:sz="4" w:space="0"/>
              <w:left w:val="single" w:color="auto" w:sz="4" w:space="0"/>
              <w:bottom w:val="single" w:color="auto" w:sz="4" w:space="0"/>
              <w:right w:val="single" w:color="auto" w:sz="4" w:space="0"/>
            </w:tcBorders>
            <w:vAlign w:val="center"/>
          </w:tcPr>
          <w:p w14:paraId="619D829E">
            <w:pPr>
              <w:adjustRightInd w:val="0"/>
              <w:snapToGrid w:val="0"/>
              <w:jc w:val="center"/>
              <w:textAlignment w:val="center"/>
              <w:rPr>
                <w:rFonts w:hint="eastAsia" w:ascii="黑体" w:hAnsi="黑体" w:eastAsia="黑体" w:cs="Times New Roman"/>
                <w:color w:val="000000"/>
                <w:sz w:val="20"/>
                <w:szCs w:val="20"/>
                <w:lang w:val="en-US" w:eastAsia="zh-CN"/>
              </w:rPr>
            </w:pPr>
            <w:r>
              <w:rPr>
                <w:rFonts w:hint="eastAsia" w:ascii="黑体" w:hAnsi="黑体" w:eastAsia="黑体" w:cs="Times New Roman"/>
                <w:color w:val="000000"/>
                <w:sz w:val="20"/>
                <w:szCs w:val="20"/>
                <w:lang w:val="en-US" w:eastAsia="zh-CN"/>
              </w:rPr>
              <w:t>标准</w:t>
            </w:r>
          </w:p>
          <w:p w14:paraId="4763A94A">
            <w:pPr>
              <w:adjustRightInd w:val="0"/>
              <w:snapToGrid w:val="0"/>
              <w:jc w:val="center"/>
              <w:textAlignment w:val="center"/>
              <w:rPr>
                <w:rFonts w:hint="eastAsia" w:ascii="黑体" w:hAnsi="黑体" w:eastAsia="黑体" w:cs="Times New Roman"/>
                <w:color w:val="000000"/>
                <w:kern w:val="2"/>
                <w:sz w:val="20"/>
                <w:szCs w:val="20"/>
              </w:rPr>
            </w:pPr>
            <w:r>
              <w:rPr>
                <w:rFonts w:hint="eastAsia" w:ascii="黑体" w:hAnsi="黑体" w:eastAsia="黑体" w:cs="Times New Roman"/>
                <w:color w:val="000000"/>
                <w:sz w:val="20"/>
                <w:szCs w:val="20"/>
              </w:rPr>
              <w:t>建筑面积</w:t>
            </w:r>
          </w:p>
        </w:tc>
        <w:tc>
          <w:tcPr>
            <w:tcW w:w="1234" w:type="dxa"/>
            <w:tcBorders>
              <w:top w:val="single" w:color="auto" w:sz="4" w:space="0"/>
              <w:left w:val="single" w:color="auto" w:sz="4" w:space="0"/>
              <w:bottom w:val="single" w:color="auto" w:sz="4" w:space="0"/>
              <w:right w:val="single" w:color="auto" w:sz="4" w:space="0"/>
            </w:tcBorders>
            <w:vAlign w:val="center"/>
          </w:tcPr>
          <w:p w14:paraId="23043007">
            <w:pPr>
              <w:adjustRightInd w:val="0"/>
              <w:snapToGrid w:val="0"/>
              <w:jc w:val="center"/>
              <w:textAlignment w:val="center"/>
              <w:rPr>
                <w:rFonts w:hint="eastAsia" w:ascii="黑体" w:hAnsi="黑体" w:eastAsia="黑体" w:cs="Times New Roman"/>
                <w:color w:val="000000"/>
                <w:kern w:val="2"/>
                <w:sz w:val="20"/>
                <w:szCs w:val="20"/>
              </w:rPr>
            </w:pPr>
            <w:r>
              <w:rPr>
                <w:rFonts w:hint="eastAsia" w:ascii="黑体" w:hAnsi="黑体" w:eastAsia="黑体" w:cs="Times New Roman"/>
                <w:color w:val="000000"/>
                <w:sz w:val="20"/>
                <w:szCs w:val="20"/>
              </w:rPr>
              <w:t>实测</w:t>
            </w:r>
          </w:p>
          <w:p w14:paraId="5CBBE4E9">
            <w:pPr>
              <w:adjustRightInd w:val="0"/>
              <w:snapToGrid w:val="0"/>
              <w:jc w:val="center"/>
              <w:textAlignment w:val="center"/>
              <w:rPr>
                <w:rFonts w:hint="eastAsia" w:ascii="黑体" w:hAnsi="黑体" w:eastAsia="黑体" w:cs="Times New Roman"/>
                <w:color w:val="000000"/>
                <w:kern w:val="2"/>
                <w:sz w:val="20"/>
                <w:szCs w:val="20"/>
              </w:rPr>
            </w:pPr>
            <w:r>
              <w:rPr>
                <w:rFonts w:hint="eastAsia" w:ascii="黑体" w:hAnsi="黑体" w:eastAsia="黑体" w:cs="Times New Roman"/>
                <w:color w:val="000000"/>
                <w:sz w:val="20"/>
                <w:szCs w:val="20"/>
              </w:rPr>
              <w:t>宅基地面积</w:t>
            </w:r>
          </w:p>
        </w:tc>
        <w:tc>
          <w:tcPr>
            <w:tcW w:w="1077" w:type="dxa"/>
            <w:tcBorders>
              <w:top w:val="single" w:color="auto" w:sz="4" w:space="0"/>
              <w:left w:val="single" w:color="auto" w:sz="4" w:space="0"/>
              <w:bottom w:val="single" w:color="auto" w:sz="4" w:space="0"/>
              <w:right w:val="single" w:color="auto" w:sz="4" w:space="0"/>
            </w:tcBorders>
            <w:vAlign w:val="center"/>
          </w:tcPr>
          <w:p w14:paraId="30B5BA25">
            <w:pPr>
              <w:jc w:val="center"/>
              <w:textAlignment w:val="center"/>
              <w:rPr>
                <w:rFonts w:hint="eastAsia" w:ascii="黑体" w:hAnsi="黑体" w:eastAsia="黑体" w:cs="Times New Roman"/>
                <w:color w:val="000000"/>
                <w:sz w:val="20"/>
                <w:szCs w:val="20"/>
              </w:rPr>
            </w:pPr>
            <w:r>
              <w:rPr>
                <w:rFonts w:hint="eastAsia" w:ascii="黑体" w:hAnsi="黑体" w:eastAsia="黑体" w:cs="Times New Roman"/>
                <w:color w:val="000000"/>
                <w:sz w:val="20"/>
                <w:szCs w:val="20"/>
              </w:rPr>
              <w:t>实测</w:t>
            </w:r>
          </w:p>
          <w:p w14:paraId="16A6635C">
            <w:pPr>
              <w:jc w:val="center"/>
              <w:textAlignment w:val="center"/>
              <w:rPr>
                <w:rFonts w:hint="eastAsia" w:ascii="黑体" w:hAnsi="黑体" w:eastAsia="黑体" w:cs="Times New Roman"/>
                <w:color w:val="000000"/>
                <w:sz w:val="20"/>
                <w:szCs w:val="20"/>
              </w:rPr>
            </w:pPr>
            <w:r>
              <w:rPr>
                <w:rFonts w:hint="eastAsia" w:ascii="黑体" w:hAnsi="黑体" w:eastAsia="黑体" w:cs="Times New Roman"/>
                <w:color w:val="000000"/>
                <w:sz w:val="20"/>
                <w:szCs w:val="20"/>
              </w:rPr>
              <w:t>建筑面积</w:t>
            </w:r>
          </w:p>
        </w:tc>
        <w:tc>
          <w:tcPr>
            <w:tcW w:w="1438" w:type="dxa"/>
            <w:tcBorders>
              <w:top w:val="single" w:color="auto" w:sz="4" w:space="0"/>
              <w:left w:val="single" w:color="auto" w:sz="4" w:space="0"/>
              <w:bottom w:val="single" w:color="auto" w:sz="4" w:space="0"/>
              <w:right w:val="single" w:color="auto" w:sz="4" w:space="0"/>
            </w:tcBorders>
            <w:vAlign w:val="center"/>
          </w:tcPr>
          <w:p w14:paraId="2430158B">
            <w:pPr>
              <w:jc w:val="center"/>
              <w:textAlignment w:val="center"/>
              <w:rPr>
                <w:rFonts w:hint="eastAsia" w:ascii="黑体" w:hAnsi="黑体" w:eastAsia="黑体" w:cs="Times New Roman"/>
                <w:color w:val="000000"/>
                <w:sz w:val="20"/>
                <w:szCs w:val="20"/>
              </w:rPr>
            </w:pPr>
            <w:r>
              <w:rPr>
                <w:rFonts w:hint="eastAsia" w:ascii="黑体" w:hAnsi="黑体" w:eastAsia="黑体" w:cs="Times New Roman"/>
                <w:color w:val="000000"/>
                <w:sz w:val="20"/>
                <w:szCs w:val="20"/>
              </w:rPr>
              <w:t>是否符合规划或建设要求</w:t>
            </w:r>
          </w:p>
        </w:tc>
        <w:tc>
          <w:tcPr>
            <w:tcW w:w="1405" w:type="dxa"/>
            <w:tcBorders>
              <w:top w:val="single" w:color="auto" w:sz="4" w:space="0"/>
              <w:left w:val="single" w:color="auto" w:sz="4" w:space="0"/>
              <w:bottom w:val="single" w:color="auto" w:sz="4" w:space="0"/>
              <w:right w:val="single" w:color="auto" w:sz="4" w:space="0"/>
            </w:tcBorders>
            <w:vAlign w:val="center"/>
          </w:tcPr>
          <w:p w14:paraId="27CF24A1">
            <w:pPr>
              <w:jc w:val="center"/>
              <w:textAlignment w:val="center"/>
              <w:rPr>
                <w:rFonts w:hint="eastAsia" w:ascii="黑体" w:hAnsi="黑体" w:eastAsia="黑体" w:cs="Times New Roman"/>
                <w:color w:val="000000"/>
                <w:kern w:val="2"/>
                <w:sz w:val="20"/>
                <w:szCs w:val="20"/>
              </w:rPr>
            </w:pPr>
            <w:r>
              <w:rPr>
                <w:rFonts w:hint="eastAsia" w:ascii="黑体" w:hAnsi="黑体" w:eastAsia="黑体" w:cs="Times New Roman"/>
                <w:color w:val="000000"/>
                <w:sz w:val="20"/>
                <w:szCs w:val="20"/>
              </w:rPr>
              <w:t>其他事项</w:t>
            </w:r>
          </w:p>
        </w:tc>
        <w:tc>
          <w:tcPr>
            <w:tcW w:w="870" w:type="dxa"/>
            <w:tcBorders>
              <w:top w:val="single" w:color="auto" w:sz="4" w:space="0"/>
              <w:left w:val="single" w:color="auto" w:sz="4" w:space="0"/>
              <w:bottom w:val="single" w:color="auto" w:sz="4" w:space="0"/>
              <w:right w:val="single" w:color="auto" w:sz="4" w:space="0"/>
            </w:tcBorders>
            <w:vAlign w:val="center"/>
          </w:tcPr>
          <w:p w14:paraId="44A6B9FA">
            <w:pPr>
              <w:jc w:val="center"/>
              <w:textAlignment w:val="center"/>
              <w:rPr>
                <w:rFonts w:hint="eastAsia" w:ascii="黑体" w:hAnsi="黑体" w:eastAsia="黑体" w:cs="Times New Roman"/>
                <w:color w:val="000000"/>
                <w:kern w:val="2"/>
                <w:sz w:val="20"/>
                <w:szCs w:val="20"/>
              </w:rPr>
            </w:pPr>
            <w:r>
              <w:rPr>
                <w:rFonts w:hint="eastAsia" w:ascii="黑体" w:hAnsi="黑体" w:eastAsia="黑体" w:cs="Times New Roman"/>
                <w:color w:val="000000"/>
                <w:sz w:val="20"/>
                <w:szCs w:val="20"/>
              </w:rPr>
              <w:t>申请人</w:t>
            </w:r>
          </w:p>
          <w:p w14:paraId="239302DD">
            <w:pPr>
              <w:jc w:val="center"/>
              <w:textAlignment w:val="center"/>
              <w:rPr>
                <w:rFonts w:hint="eastAsia" w:ascii="黑体" w:hAnsi="黑体" w:eastAsia="黑体" w:cs="Times New Roman"/>
                <w:color w:val="000000"/>
                <w:kern w:val="2"/>
                <w:sz w:val="20"/>
                <w:szCs w:val="20"/>
              </w:rPr>
            </w:pPr>
            <w:r>
              <w:rPr>
                <w:rFonts w:hint="eastAsia" w:ascii="黑体" w:hAnsi="黑体" w:eastAsia="黑体" w:cs="Times New Roman"/>
                <w:color w:val="000000"/>
                <w:sz w:val="20"/>
                <w:szCs w:val="20"/>
              </w:rPr>
              <w:t>签字</w:t>
            </w:r>
          </w:p>
        </w:tc>
      </w:tr>
      <w:tr w14:paraId="69C160EB">
        <w:tblPrEx>
          <w:tblCellMar>
            <w:top w:w="0" w:type="dxa"/>
            <w:left w:w="108" w:type="dxa"/>
            <w:bottom w:w="0" w:type="dxa"/>
            <w:right w:w="108" w:type="dxa"/>
          </w:tblCellMar>
        </w:tblPrEx>
        <w:trPr>
          <w:trHeight w:val="968" w:hRule="atLeast"/>
        </w:trPr>
        <w:tc>
          <w:tcPr>
            <w:tcW w:w="633" w:type="dxa"/>
            <w:tcBorders>
              <w:top w:val="single" w:color="auto" w:sz="4" w:space="0"/>
              <w:left w:val="single" w:color="auto" w:sz="4" w:space="0"/>
              <w:bottom w:val="single" w:color="auto" w:sz="4" w:space="0"/>
              <w:right w:val="single" w:color="auto" w:sz="4" w:space="0"/>
            </w:tcBorders>
            <w:vAlign w:val="center"/>
          </w:tcPr>
          <w:p w14:paraId="3621A1BB">
            <w:pPr>
              <w:adjustRightInd w:val="0"/>
              <w:snapToGrid w:val="0"/>
              <w:jc w:val="center"/>
              <w:textAlignment w:val="center"/>
              <w:rPr>
                <w:rFonts w:hint="eastAsia" w:ascii="宋体" w:hAnsi="宋体" w:cs="Times New Roman"/>
                <w:color w:val="000000"/>
                <w:kern w:val="2"/>
                <w:sz w:val="32"/>
                <w:szCs w:val="32"/>
              </w:rPr>
            </w:pPr>
          </w:p>
        </w:tc>
        <w:tc>
          <w:tcPr>
            <w:tcW w:w="844" w:type="dxa"/>
            <w:tcBorders>
              <w:top w:val="single" w:color="auto" w:sz="4" w:space="0"/>
              <w:left w:val="single" w:color="auto" w:sz="4" w:space="0"/>
              <w:bottom w:val="single" w:color="auto" w:sz="4" w:space="0"/>
              <w:right w:val="single" w:color="auto" w:sz="4" w:space="0"/>
            </w:tcBorders>
            <w:vAlign w:val="center"/>
          </w:tcPr>
          <w:p w14:paraId="02F50DCE">
            <w:pPr>
              <w:adjustRightInd w:val="0"/>
              <w:snapToGrid w:val="0"/>
              <w:jc w:val="center"/>
              <w:rPr>
                <w:rFonts w:hint="eastAsia" w:ascii="宋体" w:hAnsi="宋体" w:cs="Times New Roman"/>
                <w:color w:val="000000"/>
                <w:kern w:val="2"/>
                <w:sz w:val="32"/>
                <w:szCs w:val="32"/>
                <w:highlight w:val="yellow"/>
              </w:rPr>
            </w:pPr>
          </w:p>
        </w:tc>
        <w:tc>
          <w:tcPr>
            <w:tcW w:w="1059" w:type="dxa"/>
            <w:tcBorders>
              <w:top w:val="single" w:color="auto" w:sz="4" w:space="0"/>
              <w:left w:val="single" w:color="auto" w:sz="4" w:space="0"/>
              <w:bottom w:val="single" w:color="auto" w:sz="4" w:space="0"/>
              <w:right w:val="single" w:color="auto" w:sz="4" w:space="0"/>
            </w:tcBorders>
            <w:vAlign w:val="center"/>
          </w:tcPr>
          <w:p w14:paraId="44345A5E">
            <w:pPr>
              <w:adjustRightInd w:val="0"/>
              <w:snapToGrid w:val="0"/>
              <w:jc w:val="center"/>
              <w:rPr>
                <w:rFonts w:hint="eastAsia" w:ascii="宋体" w:hAnsi="宋体" w:cs="Times New Roman"/>
                <w:color w:val="000000"/>
                <w:kern w:val="2"/>
                <w:sz w:val="32"/>
                <w:szCs w:val="32"/>
                <w:highlight w:val="yellow"/>
              </w:rPr>
            </w:pPr>
          </w:p>
        </w:tc>
        <w:tc>
          <w:tcPr>
            <w:tcW w:w="632" w:type="dxa"/>
            <w:tcBorders>
              <w:top w:val="single" w:color="auto" w:sz="4" w:space="0"/>
              <w:left w:val="single" w:color="auto" w:sz="4" w:space="0"/>
              <w:bottom w:val="single" w:color="auto" w:sz="4" w:space="0"/>
              <w:right w:val="single" w:color="auto" w:sz="4" w:space="0"/>
            </w:tcBorders>
            <w:vAlign w:val="center"/>
          </w:tcPr>
          <w:p w14:paraId="7C2E17AE">
            <w:pPr>
              <w:adjustRightInd w:val="0"/>
              <w:snapToGrid w:val="0"/>
              <w:jc w:val="center"/>
              <w:rPr>
                <w:rFonts w:hint="eastAsia" w:ascii="宋体" w:hAnsi="宋体" w:cs="Times New Roman"/>
                <w:color w:val="000000"/>
                <w:kern w:val="2"/>
                <w:sz w:val="32"/>
                <w:szCs w:val="32"/>
                <w:highlight w:val="yellow"/>
              </w:rPr>
            </w:pPr>
          </w:p>
        </w:tc>
        <w:tc>
          <w:tcPr>
            <w:tcW w:w="843" w:type="dxa"/>
            <w:tcBorders>
              <w:top w:val="single" w:color="auto" w:sz="4" w:space="0"/>
              <w:left w:val="single" w:color="auto" w:sz="4" w:space="0"/>
              <w:bottom w:val="single" w:color="auto" w:sz="4" w:space="0"/>
              <w:right w:val="single" w:color="auto" w:sz="4" w:space="0"/>
            </w:tcBorders>
            <w:vAlign w:val="center"/>
          </w:tcPr>
          <w:p w14:paraId="1CD76E46">
            <w:pPr>
              <w:adjustRightInd w:val="0"/>
              <w:snapToGrid w:val="0"/>
              <w:jc w:val="center"/>
              <w:rPr>
                <w:rFonts w:hint="eastAsia" w:ascii="宋体" w:hAnsi="宋体" w:cs="Times New Roman"/>
                <w:color w:val="000000"/>
                <w:kern w:val="2"/>
                <w:sz w:val="32"/>
                <w:szCs w:val="32"/>
                <w:highlight w:val="yellow"/>
              </w:rPr>
            </w:pPr>
          </w:p>
        </w:tc>
        <w:tc>
          <w:tcPr>
            <w:tcW w:w="1570" w:type="dxa"/>
            <w:tcBorders>
              <w:top w:val="single" w:color="auto" w:sz="4" w:space="0"/>
              <w:left w:val="single" w:color="auto" w:sz="4" w:space="0"/>
              <w:bottom w:val="single" w:color="auto" w:sz="4" w:space="0"/>
              <w:right w:val="single" w:color="auto" w:sz="4" w:space="0"/>
            </w:tcBorders>
            <w:vAlign w:val="center"/>
          </w:tcPr>
          <w:p w14:paraId="7890F270">
            <w:pPr>
              <w:adjustRightInd w:val="0"/>
              <w:snapToGrid w:val="0"/>
              <w:jc w:val="center"/>
              <w:rPr>
                <w:rFonts w:hint="eastAsia" w:ascii="宋体" w:hAnsi="宋体" w:cs="Times New Roman"/>
                <w:color w:val="000000"/>
                <w:kern w:val="2"/>
                <w:sz w:val="32"/>
                <w:szCs w:val="32"/>
                <w:highlight w:val="yellow"/>
              </w:rPr>
            </w:pPr>
          </w:p>
        </w:tc>
        <w:tc>
          <w:tcPr>
            <w:tcW w:w="1259" w:type="dxa"/>
            <w:tcBorders>
              <w:top w:val="single" w:color="auto" w:sz="4" w:space="0"/>
              <w:left w:val="single" w:color="auto" w:sz="4" w:space="0"/>
              <w:bottom w:val="single" w:color="auto" w:sz="4" w:space="0"/>
              <w:right w:val="single" w:color="auto" w:sz="4" w:space="0"/>
            </w:tcBorders>
            <w:vAlign w:val="center"/>
          </w:tcPr>
          <w:p w14:paraId="5041A5BE">
            <w:pPr>
              <w:adjustRightInd w:val="0"/>
              <w:snapToGrid w:val="0"/>
              <w:jc w:val="center"/>
              <w:rPr>
                <w:rFonts w:hint="eastAsia" w:ascii="宋体" w:hAnsi="宋体" w:cs="Times New Roman"/>
                <w:color w:val="000000"/>
                <w:kern w:val="2"/>
                <w:sz w:val="32"/>
                <w:szCs w:val="32"/>
                <w:highlight w:val="yellow"/>
              </w:rPr>
            </w:pPr>
          </w:p>
        </w:tc>
        <w:tc>
          <w:tcPr>
            <w:tcW w:w="1128" w:type="dxa"/>
            <w:tcBorders>
              <w:top w:val="single" w:color="auto" w:sz="4" w:space="0"/>
              <w:left w:val="single" w:color="auto" w:sz="4" w:space="0"/>
              <w:bottom w:val="single" w:color="auto" w:sz="4" w:space="0"/>
              <w:right w:val="single" w:color="auto" w:sz="4" w:space="0"/>
            </w:tcBorders>
            <w:vAlign w:val="center"/>
          </w:tcPr>
          <w:p w14:paraId="29992D93">
            <w:pPr>
              <w:adjustRightInd w:val="0"/>
              <w:snapToGrid w:val="0"/>
              <w:jc w:val="center"/>
              <w:rPr>
                <w:rFonts w:hint="eastAsia" w:ascii="宋体" w:hAnsi="宋体" w:cs="Times New Roman"/>
                <w:color w:val="000000"/>
                <w:kern w:val="2"/>
                <w:sz w:val="32"/>
                <w:szCs w:val="32"/>
                <w:highlight w:val="yellow"/>
              </w:rPr>
            </w:pPr>
          </w:p>
        </w:tc>
        <w:tc>
          <w:tcPr>
            <w:tcW w:w="1234" w:type="dxa"/>
            <w:tcBorders>
              <w:top w:val="single" w:color="auto" w:sz="4" w:space="0"/>
              <w:left w:val="single" w:color="auto" w:sz="4" w:space="0"/>
              <w:bottom w:val="single" w:color="auto" w:sz="4" w:space="0"/>
              <w:right w:val="single" w:color="auto" w:sz="4" w:space="0"/>
            </w:tcBorders>
            <w:vAlign w:val="center"/>
          </w:tcPr>
          <w:p w14:paraId="1EF61860">
            <w:pPr>
              <w:adjustRightInd w:val="0"/>
              <w:snapToGrid w:val="0"/>
              <w:jc w:val="center"/>
              <w:rPr>
                <w:rFonts w:hint="eastAsia" w:ascii="宋体" w:hAnsi="宋体" w:cs="Times New Roman"/>
                <w:color w:val="000000"/>
                <w:kern w:val="2"/>
                <w:sz w:val="32"/>
                <w:szCs w:val="32"/>
                <w:highlight w:val="yellow"/>
              </w:rPr>
            </w:pPr>
          </w:p>
        </w:tc>
        <w:tc>
          <w:tcPr>
            <w:tcW w:w="1077" w:type="dxa"/>
            <w:tcBorders>
              <w:top w:val="single" w:color="auto" w:sz="4" w:space="0"/>
              <w:left w:val="single" w:color="auto" w:sz="4" w:space="0"/>
              <w:bottom w:val="single" w:color="auto" w:sz="4" w:space="0"/>
              <w:right w:val="single" w:color="auto" w:sz="4" w:space="0"/>
            </w:tcBorders>
          </w:tcPr>
          <w:p w14:paraId="19220E4B">
            <w:pPr>
              <w:adjustRightInd w:val="0"/>
              <w:snapToGrid w:val="0"/>
              <w:jc w:val="center"/>
              <w:rPr>
                <w:rFonts w:hint="eastAsia" w:ascii="宋体" w:hAnsi="宋体" w:cs="Times New Roman"/>
                <w:color w:val="000000"/>
                <w:kern w:val="2"/>
                <w:sz w:val="32"/>
                <w:szCs w:val="32"/>
                <w:highlight w:val="yellow"/>
              </w:rPr>
            </w:pPr>
          </w:p>
        </w:tc>
        <w:tc>
          <w:tcPr>
            <w:tcW w:w="1438" w:type="dxa"/>
            <w:tcBorders>
              <w:top w:val="single" w:color="auto" w:sz="4" w:space="0"/>
              <w:left w:val="single" w:color="auto" w:sz="4" w:space="0"/>
              <w:bottom w:val="single" w:color="auto" w:sz="4" w:space="0"/>
              <w:right w:val="single" w:color="auto" w:sz="4" w:space="0"/>
            </w:tcBorders>
            <w:vAlign w:val="center"/>
          </w:tcPr>
          <w:p w14:paraId="5FFFF8BF">
            <w:pPr>
              <w:adjustRightInd w:val="0"/>
              <w:snapToGrid w:val="0"/>
              <w:jc w:val="center"/>
              <w:rPr>
                <w:rFonts w:hint="eastAsia" w:ascii="宋体" w:hAnsi="宋体" w:cs="Times New Roman"/>
                <w:color w:val="000000"/>
                <w:kern w:val="2"/>
                <w:sz w:val="32"/>
                <w:szCs w:val="32"/>
                <w:highlight w:val="yellow"/>
              </w:rPr>
            </w:pPr>
          </w:p>
        </w:tc>
        <w:tc>
          <w:tcPr>
            <w:tcW w:w="1405" w:type="dxa"/>
            <w:tcBorders>
              <w:top w:val="single" w:color="auto" w:sz="4" w:space="0"/>
              <w:left w:val="single" w:color="auto" w:sz="4" w:space="0"/>
              <w:bottom w:val="single" w:color="auto" w:sz="4" w:space="0"/>
              <w:right w:val="single" w:color="auto" w:sz="4" w:space="0"/>
            </w:tcBorders>
            <w:vAlign w:val="center"/>
          </w:tcPr>
          <w:p w14:paraId="7DB807C0">
            <w:pPr>
              <w:widowControl w:val="0"/>
              <w:adjustRightInd w:val="0"/>
              <w:snapToGrid w:val="0"/>
              <w:spacing w:line="460" w:lineRule="exact"/>
              <w:jc w:val="center"/>
              <w:rPr>
                <w:rFonts w:hint="eastAsia" w:ascii="宋体" w:hAnsi="宋体" w:cs="Times New Roman"/>
                <w:color w:val="000000"/>
                <w:kern w:val="2"/>
                <w:sz w:val="32"/>
                <w:szCs w:val="32"/>
                <w:highlight w:val="yellow"/>
              </w:rPr>
            </w:pPr>
          </w:p>
        </w:tc>
        <w:tc>
          <w:tcPr>
            <w:tcW w:w="870" w:type="dxa"/>
            <w:tcBorders>
              <w:top w:val="single" w:color="auto" w:sz="4" w:space="0"/>
              <w:left w:val="single" w:color="auto" w:sz="4" w:space="0"/>
              <w:bottom w:val="single" w:color="auto" w:sz="4" w:space="0"/>
              <w:right w:val="single" w:color="auto" w:sz="4" w:space="0"/>
            </w:tcBorders>
            <w:vAlign w:val="center"/>
          </w:tcPr>
          <w:p w14:paraId="6D9D4CD0">
            <w:pPr>
              <w:adjustRightInd w:val="0"/>
              <w:snapToGrid w:val="0"/>
              <w:jc w:val="center"/>
              <w:rPr>
                <w:rFonts w:hint="eastAsia" w:ascii="宋体" w:hAnsi="宋体" w:cs="Times New Roman"/>
                <w:color w:val="000000"/>
                <w:kern w:val="2"/>
                <w:sz w:val="32"/>
                <w:szCs w:val="32"/>
              </w:rPr>
            </w:pPr>
          </w:p>
        </w:tc>
      </w:tr>
      <w:tr w14:paraId="48DE77C8">
        <w:tblPrEx>
          <w:tblCellMar>
            <w:top w:w="0" w:type="dxa"/>
            <w:left w:w="108" w:type="dxa"/>
            <w:bottom w:w="0" w:type="dxa"/>
            <w:right w:w="108" w:type="dxa"/>
          </w:tblCellMar>
        </w:tblPrEx>
        <w:trPr>
          <w:trHeight w:val="966" w:hRule="atLeast"/>
        </w:trPr>
        <w:tc>
          <w:tcPr>
            <w:tcW w:w="633" w:type="dxa"/>
            <w:tcBorders>
              <w:top w:val="single" w:color="auto" w:sz="4" w:space="0"/>
              <w:left w:val="single" w:color="auto" w:sz="4" w:space="0"/>
              <w:bottom w:val="single" w:color="auto" w:sz="4" w:space="0"/>
              <w:right w:val="single" w:color="auto" w:sz="4" w:space="0"/>
            </w:tcBorders>
            <w:vAlign w:val="center"/>
          </w:tcPr>
          <w:p w14:paraId="28A624E4">
            <w:pPr>
              <w:jc w:val="center"/>
              <w:rPr>
                <w:rFonts w:hint="eastAsia" w:ascii="宋体" w:hAnsi="宋体" w:cs="Times New Roman"/>
                <w:color w:val="000000"/>
                <w:kern w:val="2"/>
                <w:sz w:val="32"/>
                <w:szCs w:val="32"/>
              </w:rPr>
            </w:pPr>
          </w:p>
        </w:tc>
        <w:tc>
          <w:tcPr>
            <w:tcW w:w="844" w:type="dxa"/>
            <w:tcBorders>
              <w:top w:val="single" w:color="auto" w:sz="4" w:space="0"/>
              <w:left w:val="single" w:color="auto" w:sz="4" w:space="0"/>
              <w:bottom w:val="single" w:color="auto" w:sz="4" w:space="0"/>
              <w:right w:val="single" w:color="auto" w:sz="4" w:space="0"/>
            </w:tcBorders>
            <w:vAlign w:val="center"/>
          </w:tcPr>
          <w:p w14:paraId="486F686B">
            <w:pPr>
              <w:jc w:val="center"/>
              <w:rPr>
                <w:rFonts w:hint="eastAsia" w:ascii="宋体" w:hAnsi="宋体" w:cs="Times New Roman"/>
                <w:color w:val="000000"/>
                <w:kern w:val="2"/>
                <w:sz w:val="32"/>
                <w:szCs w:val="32"/>
              </w:rPr>
            </w:pPr>
          </w:p>
        </w:tc>
        <w:tc>
          <w:tcPr>
            <w:tcW w:w="1059" w:type="dxa"/>
            <w:tcBorders>
              <w:top w:val="single" w:color="auto" w:sz="4" w:space="0"/>
              <w:left w:val="single" w:color="auto" w:sz="4" w:space="0"/>
              <w:bottom w:val="single" w:color="auto" w:sz="4" w:space="0"/>
              <w:right w:val="single" w:color="auto" w:sz="4" w:space="0"/>
            </w:tcBorders>
            <w:vAlign w:val="center"/>
          </w:tcPr>
          <w:p w14:paraId="59553177">
            <w:pPr>
              <w:widowControl w:val="0"/>
              <w:adjustRightInd w:val="0"/>
              <w:snapToGrid w:val="0"/>
              <w:jc w:val="center"/>
              <w:rPr>
                <w:rFonts w:hint="eastAsia" w:ascii="宋体" w:hAnsi="宋体" w:cs="Times New Roman"/>
                <w:color w:val="000000"/>
                <w:kern w:val="2"/>
                <w:sz w:val="32"/>
                <w:szCs w:val="32"/>
              </w:rPr>
            </w:pPr>
          </w:p>
        </w:tc>
        <w:tc>
          <w:tcPr>
            <w:tcW w:w="632" w:type="dxa"/>
            <w:tcBorders>
              <w:top w:val="single" w:color="auto" w:sz="4" w:space="0"/>
              <w:left w:val="single" w:color="auto" w:sz="4" w:space="0"/>
              <w:bottom w:val="single" w:color="auto" w:sz="4" w:space="0"/>
              <w:right w:val="single" w:color="auto" w:sz="4" w:space="0"/>
            </w:tcBorders>
            <w:vAlign w:val="center"/>
          </w:tcPr>
          <w:p w14:paraId="16B61397">
            <w:pPr>
              <w:jc w:val="center"/>
              <w:rPr>
                <w:rFonts w:hint="eastAsia" w:ascii="宋体" w:hAnsi="宋体" w:cs="Times New Roman"/>
                <w:color w:val="000000"/>
                <w:kern w:val="2"/>
                <w:sz w:val="32"/>
                <w:szCs w:val="32"/>
              </w:rPr>
            </w:pPr>
          </w:p>
        </w:tc>
        <w:tc>
          <w:tcPr>
            <w:tcW w:w="843" w:type="dxa"/>
            <w:tcBorders>
              <w:top w:val="single" w:color="auto" w:sz="4" w:space="0"/>
              <w:left w:val="single" w:color="auto" w:sz="4" w:space="0"/>
              <w:bottom w:val="single" w:color="auto" w:sz="4" w:space="0"/>
              <w:right w:val="single" w:color="auto" w:sz="4" w:space="0"/>
            </w:tcBorders>
            <w:vAlign w:val="center"/>
          </w:tcPr>
          <w:p w14:paraId="2D84AA04">
            <w:pPr>
              <w:jc w:val="center"/>
              <w:rPr>
                <w:rFonts w:hint="eastAsia" w:ascii="宋体" w:hAnsi="宋体" w:cs="Times New Roman"/>
                <w:color w:val="000000"/>
                <w:kern w:val="2"/>
                <w:sz w:val="32"/>
                <w:szCs w:val="32"/>
              </w:rPr>
            </w:pPr>
          </w:p>
        </w:tc>
        <w:tc>
          <w:tcPr>
            <w:tcW w:w="1570" w:type="dxa"/>
            <w:tcBorders>
              <w:top w:val="single" w:color="auto" w:sz="4" w:space="0"/>
              <w:left w:val="single" w:color="auto" w:sz="4" w:space="0"/>
              <w:bottom w:val="single" w:color="auto" w:sz="4" w:space="0"/>
              <w:right w:val="single" w:color="auto" w:sz="4" w:space="0"/>
            </w:tcBorders>
            <w:vAlign w:val="center"/>
          </w:tcPr>
          <w:p w14:paraId="1309C6F0">
            <w:pPr>
              <w:jc w:val="center"/>
              <w:rPr>
                <w:rFonts w:hint="eastAsia" w:ascii="宋体" w:hAnsi="宋体" w:cs="Times New Roman"/>
                <w:color w:val="000000"/>
                <w:kern w:val="2"/>
                <w:sz w:val="32"/>
                <w:szCs w:val="32"/>
              </w:rPr>
            </w:pPr>
          </w:p>
        </w:tc>
        <w:tc>
          <w:tcPr>
            <w:tcW w:w="1259" w:type="dxa"/>
            <w:tcBorders>
              <w:top w:val="single" w:color="auto" w:sz="4" w:space="0"/>
              <w:left w:val="single" w:color="auto" w:sz="4" w:space="0"/>
              <w:bottom w:val="single" w:color="auto" w:sz="4" w:space="0"/>
              <w:right w:val="single" w:color="auto" w:sz="4" w:space="0"/>
            </w:tcBorders>
            <w:vAlign w:val="center"/>
          </w:tcPr>
          <w:p w14:paraId="7C0A619F">
            <w:pPr>
              <w:jc w:val="center"/>
              <w:rPr>
                <w:rFonts w:hint="eastAsia" w:ascii="宋体" w:hAnsi="宋体" w:cs="Times New Roman"/>
                <w:color w:val="000000"/>
                <w:kern w:val="2"/>
                <w:sz w:val="32"/>
                <w:szCs w:val="32"/>
              </w:rPr>
            </w:pPr>
          </w:p>
        </w:tc>
        <w:tc>
          <w:tcPr>
            <w:tcW w:w="1128" w:type="dxa"/>
            <w:tcBorders>
              <w:top w:val="single" w:color="auto" w:sz="4" w:space="0"/>
              <w:left w:val="single" w:color="auto" w:sz="4" w:space="0"/>
              <w:bottom w:val="single" w:color="auto" w:sz="4" w:space="0"/>
              <w:right w:val="single" w:color="auto" w:sz="4" w:space="0"/>
            </w:tcBorders>
            <w:vAlign w:val="center"/>
          </w:tcPr>
          <w:p w14:paraId="27B58AB2">
            <w:pPr>
              <w:jc w:val="center"/>
              <w:rPr>
                <w:rFonts w:hint="eastAsia" w:ascii="宋体" w:hAnsi="宋体" w:cs="Times New Roman"/>
                <w:color w:val="000000"/>
                <w:kern w:val="2"/>
                <w:sz w:val="32"/>
                <w:szCs w:val="32"/>
              </w:rPr>
            </w:pPr>
          </w:p>
        </w:tc>
        <w:tc>
          <w:tcPr>
            <w:tcW w:w="1234" w:type="dxa"/>
            <w:tcBorders>
              <w:top w:val="single" w:color="auto" w:sz="4" w:space="0"/>
              <w:left w:val="single" w:color="auto" w:sz="4" w:space="0"/>
              <w:bottom w:val="single" w:color="auto" w:sz="4" w:space="0"/>
              <w:right w:val="single" w:color="auto" w:sz="4" w:space="0"/>
            </w:tcBorders>
            <w:vAlign w:val="center"/>
          </w:tcPr>
          <w:p w14:paraId="122EC11B">
            <w:pPr>
              <w:jc w:val="center"/>
              <w:rPr>
                <w:rFonts w:hint="eastAsia" w:ascii="宋体" w:hAnsi="宋体" w:cs="Times New Roman"/>
                <w:color w:val="000000"/>
                <w:kern w:val="2"/>
                <w:sz w:val="32"/>
                <w:szCs w:val="32"/>
              </w:rPr>
            </w:pPr>
          </w:p>
        </w:tc>
        <w:tc>
          <w:tcPr>
            <w:tcW w:w="1077" w:type="dxa"/>
            <w:tcBorders>
              <w:top w:val="single" w:color="auto" w:sz="4" w:space="0"/>
              <w:left w:val="single" w:color="auto" w:sz="4" w:space="0"/>
              <w:bottom w:val="single" w:color="auto" w:sz="4" w:space="0"/>
              <w:right w:val="single" w:color="auto" w:sz="4" w:space="0"/>
            </w:tcBorders>
          </w:tcPr>
          <w:p w14:paraId="3EF213FE">
            <w:pPr>
              <w:jc w:val="center"/>
              <w:rPr>
                <w:rFonts w:hint="eastAsia" w:ascii="宋体" w:hAnsi="宋体" w:cs="Times New Roman"/>
                <w:color w:val="000000"/>
                <w:kern w:val="2"/>
                <w:sz w:val="32"/>
                <w:szCs w:val="32"/>
              </w:rPr>
            </w:pPr>
          </w:p>
        </w:tc>
        <w:tc>
          <w:tcPr>
            <w:tcW w:w="1438" w:type="dxa"/>
            <w:tcBorders>
              <w:top w:val="single" w:color="auto" w:sz="4" w:space="0"/>
              <w:left w:val="single" w:color="auto" w:sz="4" w:space="0"/>
              <w:bottom w:val="single" w:color="auto" w:sz="4" w:space="0"/>
              <w:right w:val="single" w:color="auto" w:sz="4" w:space="0"/>
            </w:tcBorders>
            <w:vAlign w:val="center"/>
          </w:tcPr>
          <w:p w14:paraId="065CCF69">
            <w:pPr>
              <w:jc w:val="center"/>
              <w:rPr>
                <w:rFonts w:hint="eastAsia" w:ascii="宋体" w:hAnsi="宋体" w:cs="Times New Roman"/>
                <w:color w:val="000000"/>
                <w:kern w:val="2"/>
                <w:sz w:val="32"/>
                <w:szCs w:val="32"/>
              </w:rPr>
            </w:pPr>
          </w:p>
        </w:tc>
        <w:tc>
          <w:tcPr>
            <w:tcW w:w="1405" w:type="dxa"/>
            <w:tcBorders>
              <w:top w:val="single" w:color="auto" w:sz="4" w:space="0"/>
              <w:left w:val="single" w:color="auto" w:sz="4" w:space="0"/>
              <w:bottom w:val="single" w:color="auto" w:sz="4" w:space="0"/>
              <w:right w:val="single" w:color="auto" w:sz="4" w:space="0"/>
            </w:tcBorders>
            <w:vAlign w:val="center"/>
          </w:tcPr>
          <w:p w14:paraId="1E1ABB30">
            <w:pPr>
              <w:widowControl w:val="0"/>
              <w:spacing w:line="460" w:lineRule="exact"/>
              <w:jc w:val="center"/>
              <w:rPr>
                <w:rFonts w:hint="eastAsia" w:ascii="宋体" w:hAnsi="宋体" w:cs="Times New Roman"/>
                <w:color w:val="000000"/>
                <w:kern w:val="2"/>
                <w:sz w:val="32"/>
                <w:szCs w:val="32"/>
              </w:rPr>
            </w:pPr>
          </w:p>
        </w:tc>
        <w:tc>
          <w:tcPr>
            <w:tcW w:w="870" w:type="dxa"/>
            <w:tcBorders>
              <w:top w:val="single" w:color="auto" w:sz="4" w:space="0"/>
              <w:left w:val="single" w:color="auto" w:sz="4" w:space="0"/>
              <w:bottom w:val="single" w:color="auto" w:sz="4" w:space="0"/>
              <w:right w:val="single" w:color="auto" w:sz="4" w:space="0"/>
            </w:tcBorders>
            <w:vAlign w:val="center"/>
          </w:tcPr>
          <w:p w14:paraId="42C7266F">
            <w:pPr>
              <w:jc w:val="center"/>
              <w:rPr>
                <w:rFonts w:hint="eastAsia" w:ascii="宋体" w:hAnsi="宋体" w:cs="Times New Roman"/>
                <w:color w:val="000000"/>
                <w:kern w:val="2"/>
                <w:sz w:val="32"/>
                <w:szCs w:val="32"/>
              </w:rPr>
            </w:pPr>
          </w:p>
        </w:tc>
      </w:tr>
      <w:tr w14:paraId="36901DDB">
        <w:tblPrEx>
          <w:tblCellMar>
            <w:top w:w="0" w:type="dxa"/>
            <w:left w:w="108" w:type="dxa"/>
            <w:bottom w:w="0" w:type="dxa"/>
            <w:right w:w="108" w:type="dxa"/>
          </w:tblCellMar>
        </w:tblPrEx>
        <w:trPr>
          <w:trHeight w:val="764" w:hRule="atLeast"/>
        </w:trPr>
        <w:tc>
          <w:tcPr>
            <w:tcW w:w="633" w:type="dxa"/>
            <w:tcBorders>
              <w:top w:val="single" w:color="auto" w:sz="4" w:space="0"/>
              <w:left w:val="single" w:color="auto" w:sz="4" w:space="0"/>
              <w:bottom w:val="single" w:color="auto" w:sz="4" w:space="0"/>
              <w:right w:val="single" w:color="auto" w:sz="4" w:space="0"/>
            </w:tcBorders>
            <w:vAlign w:val="center"/>
          </w:tcPr>
          <w:p w14:paraId="3057F1A8">
            <w:pPr>
              <w:jc w:val="center"/>
              <w:rPr>
                <w:rFonts w:hint="eastAsia" w:ascii="宋体" w:hAnsi="宋体" w:cs="Times New Roman"/>
                <w:color w:val="000000"/>
                <w:kern w:val="2"/>
                <w:sz w:val="32"/>
                <w:szCs w:val="32"/>
              </w:rPr>
            </w:pPr>
          </w:p>
        </w:tc>
        <w:tc>
          <w:tcPr>
            <w:tcW w:w="844" w:type="dxa"/>
            <w:tcBorders>
              <w:top w:val="single" w:color="auto" w:sz="4" w:space="0"/>
              <w:left w:val="single" w:color="auto" w:sz="4" w:space="0"/>
              <w:bottom w:val="single" w:color="auto" w:sz="4" w:space="0"/>
              <w:right w:val="single" w:color="auto" w:sz="4" w:space="0"/>
            </w:tcBorders>
            <w:vAlign w:val="center"/>
          </w:tcPr>
          <w:p w14:paraId="1FB187DF">
            <w:pPr>
              <w:jc w:val="center"/>
              <w:rPr>
                <w:rFonts w:hint="eastAsia" w:ascii="宋体" w:hAnsi="宋体" w:cs="Times New Roman"/>
                <w:color w:val="000000"/>
                <w:kern w:val="2"/>
                <w:sz w:val="32"/>
                <w:szCs w:val="32"/>
              </w:rPr>
            </w:pPr>
          </w:p>
        </w:tc>
        <w:tc>
          <w:tcPr>
            <w:tcW w:w="1059" w:type="dxa"/>
            <w:tcBorders>
              <w:top w:val="single" w:color="auto" w:sz="4" w:space="0"/>
              <w:left w:val="single" w:color="auto" w:sz="4" w:space="0"/>
              <w:bottom w:val="single" w:color="auto" w:sz="4" w:space="0"/>
              <w:right w:val="single" w:color="auto" w:sz="4" w:space="0"/>
            </w:tcBorders>
            <w:vAlign w:val="center"/>
          </w:tcPr>
          <w:p w14:paraId="7148FF1F">
            <w:pPr>
              <w:jc w:val="center"/>
              <w:rPr>
                <w:rFonts w:hint="eastAsia" w:ascii="宋体" w:hAnsi="宋体" w:cs="Times New Roman"/>
                <w:color w:val="000000"/>
                <w:kern w:val="2"/>
                <w:sz w:val="32"/>
                <w:szCs w:val="32"/>
              </w:rPr>
            </w:pPr>
          </w:p>
        </w:tc>
        <w:tc>
          <w:tcPr>
            <w:tcW w:w="632" w:type="dxa"/>
            <w:tcBorders>
              <w:top w:val="single" w:color="auto" w:sz="4" w:space="0"/>
              <w:left w:val="single" w:color="auto" w:sz="4" w:space="0"/>
              <w:bottom w:val="single" w:color="auto" w:sz="4" w:space="0"/>
              <w:right w:val="single" w:color="auto" w:sz="4" w:space="0"/>
            </w:tcBorders>
            <w:vAlign w:val="center"/>
          </w:tcPr>
          <w:p w14:paraId="2CB34B41">
            <w:pPr>
              <w:jc w:val="center"/>
              <w:rPr>
                <w:rFonts w:hint="eastAsia" w:ascii="宋体" w:hAnsi="宋体" w:cs="Times New Roman"/>
                <w:color w:val="000000"/>
                <w:kern w:val="2"/>
                <w:sz w:val="32"/>
                <w:szCs w:val="32"/>
              </w:rPr>
            </w:pPr>
          </w:p>
        </w:tc>
        <w:tc>
          <w:tcPr>
            <w:tcW w:w="843" w:type="dxa"/>
            <w:tcBorders>
              <w:top w:val="single" w:color="auto" w:sz="4" w:space="0"/>
              <w:left w:val="single" w:color="auto" w:sz="4" w:space="0"/>
              <w:bottom w:val="single" w:color="auto" w:sz="4" w:space="0"/>
              <w:right w:val="single" w:color="auto" w:sz="4" w:space="0"/>
            </w:tcBorders>
            <w:vAlign w:val="center"/>
          </w:tcPr>
          <w:p w14:paraId="3CDDA082">
            <w:pPr>
              <w:jc w:val="center"/>
              <w:rPr>
                <w:rFonts w:hint="eastAsia" w:ascii="宋体" w:hAnsi="宋体" w:cs="Times New Roman"/>
                <w:color w:val="000000"/>
                <w:kern w:val="2"/>
                <w:sz w:val="32"/>
                <w:szCs w:val="32"/>
              </w:rPr>
            </w:pPr>
          </w:p>
        </w:tc>
        <w:tc>
          <w:tcPr>
            <w:tcW w:w="1570" w:type="dxa"/>
            <w:tcBorders>
              <w:top w:val="single" w:color="auto" w:sz="4" w:space="0"/>
              <w:left w:val="single" w:color="auto" w:sz="4" w:space="0"/>
              <w:bottom w:val="single" w:color="auto" w:sz="4" w:space="0"/>
              <w:right w:val="single" w:color="auto" w:sz="4" w:space="0"/>
            </w:tcBorders>
            <w:vAlign w:val="center"/>
          </w:tcPr>
          <w:p w14:paraId="077D0B6C">
            <w:pPr>
              <w:jc w:val="center"/>
              <w:rPr>
                <w:rFonts w:hint="eastAsia" w:ascii="宋体" w:hAnsi="宋体" w:cs="Times New Roman"/>
                <w:color w:val="000000"/>
                <w:kern w:val="2"/>
                <w:sz w:val="32"/>
                <w:szCs w:val="32"/>
              </w:rPr>
            </w:pPr>
          </w:p>
        </w:tc>
        <w:tc>
          <w:tcPr>
            <w:tcW w:w="1259" w:type="dxa"/>
            <w:tcBorders>
              <w:top w:val="single" w:color="auto" w:sz="4" w:space="0"/>
              <w:left w:val="single" w:color="auto" w:sz="4" w:space="0"/>
              <w:bottom w:val="single" w:color="auto" w:sz="4" w:space="0"/>
              <w:right w:val="single" w:color="auto" w:sz="4" w:space="0"/>
            </w:tcBorders>
            <w:vAlign w:val="center"/>
          </w:tcPr>
          <w:p w14:paraId="70D53882">
            <w:pPr>
              <w:jc w:val="center"/>
              <w:rPr>
                <w:rFonts w:hint="eastAsia" w:ascii="宋体" w:hAnsi="宋体" w:cs="Times New Roman"/>
                <w:color w:val="000000"/>
                <w:kern w:val="2"/>
                <w:sz w:val="32"/>
                <w:szCs w:val="32"/>
              </w:rPr>
            </w:pPr>
          </w:p>
        </w:tc>
        <w:tc>
          <w:tcPr>
            <w:tcW w:w="1128" w:type="dxa"/>
            <w:tcBorders>
              <w:top w:val="single" w:color="auto" w:sz="4" w:space="0"/>
              <w:left w:val="single" w:color="auto" w:sz="4" w:space="0"/>
              <w:bottom w:val="single" w:color="auto" w:sz="4" w:space="0"/>
              <w:right w:val="single" w:color="auto" w:sz="4" w:space="0"/>
            </w:tcBorders>
            <w:vAlign w:val="center"/>
          </w:tcPr>
          <w:p w14:paraId="39CA552F">
            <w:pPr>
              <w:jc w:val="center"/>
              <w:rPr>
                <w:rFonts w:hint="eastAsia" w:ascii="宋体" w:hAnsi="宋体" w:cs="Times New Roman"/>
                <w:color w:val="000000"/>
                <w:kern w:val="2"/>
                <w:sz w:val="32"/>
                <w:szCs w:val="32"/>
              </w:rPr>
            </w:pPr>
          </w:p>
        </w:tc>
        <w:tc>
          <w:tcPr>
            <w:tcW w:w="1234" w:type="dxa"/>
            <w:tcBorders>
              <w:top w:val="single" w:color="auto" w:sz="4" w:space="0"/>
              <w:left w:val="single" w:color="auto" w:sz="4" w:space="0"/>
              <w:bottom w:val="single" w:color="auto" w:sz="4" w:space="0"/>
              <w:right w:val="single" w:color="auto" w:sz="4" w:space="0"/>
            </w:tcBorders>
            <w:vAlign w:val="center"/>
          </w:tcPr>
          <w:p w14:paraId="74A1D324">
            <w:pPr>
              <w:jc w:val="center"/>
              <w:rPr>
                <w:rFonts w:hint="eastAsia" w:ascii="宋体" w:hAnsi="宋体" w:cs="Times New Roman"/>
                <w:color w:val="000000"/>
                <w:kern w:val="2"/>
                <w:sz w:val="32"/>
                <w:szCs w:val="32"/>
              </w:rPr>
            </w:pPr>
          </w:p>
        </w:tc>
        <w:tc>
          <w:tcPr>
            <w:tcW w:w="1077" w:type="dxa"/>
            <w:tcBorders>
              <w:top w:val="single" w:color="auto" w:sz="4" w:space="0"/>
              <w:left w:val="single" w:color="auto" w:sz="4" w:space="0"/>
              <w:bottom w:val="single" w:color="auto" w:sz="4" w:space="0"/>
              <w:right w:val="single" w:color="auto" w:sz="4" w:space="0"/>
            </w:tcBorders>
          </w:tcPr>
          <w:p w14:paraId="3322BCB7">
            <w:pPr>
              <w:jc w:val="center"/>
              <w:rPr>
                <w:rFonts w:hint="eastAsia" w:ascii="宋体" w:hAnsi="宋体" w:cs="Times New Roman"/>
                <w:color w:val="000000"/>
                <w:kern w:val="2"/>
                <w:sz w:val="32"/>
                <w:szCs w:val="32"/>
              </w:rPr>
            </w:pPr>
          </w:p>
        </w:tc>
        <w:tc>
          <w:tcPr>
            <w:tcW w:w="1438" w:type="dxa"/>
            <w:tcBorders>
              <w:top w:val="single" w:color="auto" w:sz="4" w:space="0"/>
              <w:left w:val="single" w:color="auto" w:sz="4" w:space="0"/>
              <w:bottom w:val="single" w:color="auto" w:sz="4" w:space="0"/>
              <w:right w:val="single" w:color="auto" w:sz="4" w:space="0"/>
            </w:tcBorders>
            <w:vAlign w:val="center"/>
          </w:tcPr>
          <w:p w14:paraId="7823E5AC">
            <w:pPr>
              <w:jc w:val="center"/>
              <w:rPr>
                <w:rFonts w:hint="eastAsia" w:ascii="宋体" w:hAnsi="宋体" w:cs="Times New Roman"/>
                <w:color w:val="000000"/>
                <w:kern w:val="2"/>
                <w:sz w:val="32"/>
                <w:szCs w:val="32"/>
              </w:rPr>
            </w:pPr>
          </w:p>
        </w:tc>
        <w:tc>
          <w:tcPr>
            <w:tcW w:w="1405" w:type="dxa"/>
            <w:tcBorders>
              <w:top w:val="single" w:color="auto" w:sz="4" w:space="0"/>
              <w:left w:val="single" w:color="auto" w:sz="4" w:space="0"/>
              <w:bottom w:val="single" w:color="auto" w:sz="4" w:space="0"/>
              <w:right w:val="single" w:color="auto" w:sz="4" w:space="0"/>
            </w:tcBorders>
            <w:vAlign w:val="center"/>
          </w:tcPr>
          <w:p w14:paraId="73D5CE0B">
            <w:pPr>
              <w:widowControl w:val="0"/>
              <w:spacing w:line="460" w:lineRule="exact"/>
              <w:jc w:val="center"/>
              <w:rPr>
                <w:rFonts w:hint="eastAsia" w:ascii="宋体" w:hAnsi="宋体" w:cs="Times New Roman"/>
                <w:color w:val="000000"/>
                <w:kern w:val="2"/>
                <w:sz w:val="32"/>
                <w:szCs w:val="32"/>
              </w:rPr>
            </w:pPr>
          </w:p>
        </w:tc>
        <w:tc>
          <w:tcPr>
            <w:tcW w:w="870" w:type="dxa"/>
            <w:tcBorders>
              <w:top w:val="single" w:color="auto" w:sz="4" w:space="0"/>
              <w:left w:val="single" w:color="auto" w:sz="4" w:space="0"/>
              <w:bottom w:val="single" w:color="auto" w:sz="4" w:space="0"/>
              <w:right w:val="single" w:color="auto" w:sz="4" w:space="0"/>
            </w:tcBorders>
            <w:vAlign w:val="center"/>
          </w:tcPr>
          <w:p w14:paraId="782F161B">
            <w:pPr>
              <w:jc w:val="center"/>
              <w:rPr>
                <w:rFonts w:hint="eastAsia" w:ascii="宋体" w:hAnsi="宋体" w:cs="Times New Roman"/>
                <w:color w:val="000000"/>
                <w:kern w:val="2"/>
                <w:sz w:val="32"/>
                <w:szCs w:val="32"/>
              </w:rPr>
            </w:pPr>
          </w:p>
        </w:tc>
      </w:tr>
      <w:tr w14:paraId="26C06E12">
        <w:tblPrEx>
          <w:tblCellMar>
            <w:top w:w="0" w:type="dxa"/>
            <w:left w:w="108" w:type="dxa"/>
            <w:bottom w:w="0" w:type="dxa"/>
            <w:right w:w="108" w:type="dxa"/>
          </w:tblCellMar>
        </w:tblPrEx>
        <w:trPr>
          <w:trHeight w:val="1656" w:hRule="atLeast"/>
        </w:trPr>
        <w:tc>
          <w:tcPr>
            <w:tcW w:w="2536" w:type="dxa"/>
            <w:gridSpan w:val="3"/>
            <w:tcBorders>
              <w:top w:val="single" w:color="auto" w:sz="4" w:space="0"/>
              <w:left w:val="single" w:color="000000" w:sz="4" w:space="0"/>
              <w:bottom w:val="single" w:color="000000" w:sz="4" w:space="0"/>
              <w:right w:val="single" w:color="000000" w:sz="4" w:space="0"/>
            </w:tcBorders>
            <w:vAlign w:val="center"/>
          </w:tcPr>
          <w:p w14:paraId="5D4FC7CF">
            <w:pPr>
              <w:jc w:val="center"/>
              <w:rPr>
                <w:rFonts w:hint="eastAsia" w:ascii="仿宋_GB2312" w:hAnsi="宋体" w:eastAsia="仿宋_GB2312" w:cs="Times New Roman"/>
                <w:color w:val="000000"/>
                <w:kern w:val="2"/>
                <w:sz w:val="28"/>
                <w:szCs w:val="28"/>
              </w:rPr>
            </w:pPr>
            <w:r>
              <w:rPr>
                <w:rFonts w:hint="eastAsia" w:ascii="仿宋_GB2312" w:hAnsi="宋体" w:eastAsia="仿宋_GB2312" w:cs="Times New Roman"/>
                <w:color w:val="000000"/>
                <w:sz w:val="28"/>
                <w:szCs w:val="28"/>
              </w:rPr>
              <w:t>村经济合作社</w:t>
            </w:r>
            <w:r>
              <w:rPr>
                <w:rFonts w:hint="eastAsia" w:ascii="仿宋_GB2312" w:hAnsi="宋体" w:eastAsia="仿宋_GB2312" w:cs="Times New Roman"/>
                <w:color w:val="000000"/>
                <w:kern w:val="2"/>
                <w:sz w:val="28"/>
                <w:szCs w:val="28"/>
              </w:rPr>
              <w:t>意见</w:t>
            </w:r>
          </w:p>
        </w:tc>
        <w:tc>
          <w:tcPr>
            <w:tcW w:w="11456" w:type="dxa"/>
            <w:gridSpan w:val="10"/>
            <w:tcBorders>
              <w:top w:val="single" w:color="auto" w:sz="4" w:space="0"/>
              <w:left w:val="nil"/>
              <w:bottom w:val="single" w:color="000000" w:sz="4" w:space="0"/>
              <w:right w:val="single" w:color="000000" w:sz="4" w:space="0"/>
            </w:tcBorders>
            <w:vAlign w:val="center"/>
          </w:tcPr>
          <w:p w14:paraId="49DFFD2E">
            <w:pPr>
              <w:jc w:val="center"/>
              <w:rPr>
                <w:rFonts w:hint="eastAsia" w:ascii="仿宋_GB2312" w:hAnsi="宋体" w:eastAsia="仿宋_GB2312" w:cs="Times New Roman"/>
                <w:color w:val="000000"/>
                <w:kern w:val="2"/>
                <w:sz w:val="28"/>
                <w:szCs w:val="28"/>
              </w:rPr>
            </w:pPr>
          </w:p>
          <w:p w14:paraId="7B09A7A9">
            <w:pPr>
              <w:jc w:val="center"/>
              <w:rPr>
                <w:rFonts w:hint="eastAsia" w:ascii="仿宋_GB2312" w:hAnsi="宋体" w:eastAsia="仿宋_GB2312" w:cs="Times New Roman"/>
                <w:color w:val="000000"/>
                <w:kern w:val="2"/>
                <w:sz w:val="28"/>
                <w:szCs w:val="28"/>
              </w:rPr>
            </w:pPr>
            <w:r>
              <w:rPr>
                <w:rFonts w:hint="eastAsia" w:ascii="仿宋_GB2312" w:hAnsi="宋体" w:eastAsia="仿宋_GB2312" w:cs="Times New Roman"/>
                <w:color w:val="000000"/>
                <w:kern w:val="2"/>
                <w:sz w:val="28"/>
                <w:szCs w:val="28"/>
              </w:rPr>
              <w:t>负责人              日期              （盖章）</w:t>
            </w:r>
          </w:p>
        </w:tc>
      </w:tr>
      <w:tr w14:paraId="1F40F89B">
        <w:tblPrEx>
          <w:tblCellMar>
            <w:top w:w="0" w:type="dxa"/>
            <w:left w:w="108" w:type="dxa"/>
            <w:bottom w:w="0" w:type="dxa"/>
            <w:right w:w="108" w:type="dxa"/>
          </w:tblCellMar>
        </w:tblPrEx>
        <w:trPr>
          <w:trHeight w:val="764" w:hRule="atLeast"/>
        </w:trPr>
        <w:tc>
          <w:tcPr>
            <w:tcW w:w="2536" w:type="dxa"/>
            <w:gridSpan w:val="3"/>
            <w:tcBorders>
              <w:top w:val="single" w:color="000000" w:sz="4" w:space="0"/>
              <w:left w:val="single" w:color="000000" w:sz="4" w:space="0"/>
              <w:bottom w:val="single" w:color="000000" w:sz="4" w:space="0"/>
              <w:right w:val="single" w:color="000000" w:sz="4" w:space="0"/>
            </w:tcBorders>
            <w:vAlign w:val="center"/>
          </w:tcPr>
          <w:p w14:paraId="12758E55">
            <w:pPr>
              <w:jc w:val="center"/>
              <w:rPr>
                <w:rFonts w:hint="eastAsia" w:ascii="仿宋_GB2312" w:hAnsi="宋体" w:eastAsia="仿宋_GB2312" w:cs="Times New Roman"/>
                <w:color w:val="000000"/>
                <w:sz w:val="28"/>
                <w:szCs w:val="28"/>
              </w:rPr>
            </w:pPr>
            <w:r>
              <w:rPr>
                <w:rFonts w:hint="eastAsia" w:ascii="仿宋_GB2312" w:hAnsi="宋体" w:eastAsia="仿宋_GB2312" w:cs="Times New Roman"/>
                <w:color w:val="000000"/>
                <w:sz w:val="28"/>
                <w:szCs w:val="28"/>
              </w:rPr>
              <w:t>镇政府意见</w:t>
            </w:r>
          </w:p>
        </w:tc>
        <w:tc>
          <w:tcPr>
            <w:tcW w:w="11456" w:type="dxa"/>
            <w:gridSpan w:val="10"/>
            <w:tcBorders>
              <w:top w:val="single" w:color="000000" w:sz="4" w:space="0"/>
              <w:left w:val="nil"/>
              <w:bottom w:val="single" w:color="000000" w:sz="4" w:space="0"/>
              <w:right w:val="single" w:color="000000" w:sz="4" w:space="0"/>
            </w:tcBorders>
          </w:tcPr>
          <w:p w14:paraId="018E7E11">
            <w:pPr>
              <w:rPr>
                <w:rFonts w:hint="eastAsia" w:ascii="仿宋_GB2312" w:hAnsi="宋体" w:eastAsia="仿宋_GB2312" w:cs="Times New Roman"/>
                <w:color w:val="000000"/>
                <w:kern w:val="2"/>
                <w:sz w:val="28"/>
                <w:szCs w:val="28"/>
              </w:rPr>
            </w:pPr>
          </w:p>
          <w:p w14:paraId="7BD9EAB4">
            <w:pPr>
              <w:jc w:val="center"/>
              <w:rPr>
                <w:rFonts w:hint="eastAsia" w:ascii="仿宋_GB2312" w:hAnsi="宋体" w:eastAsia="仿宋_GB2312" w:cs="Times New Roman"/>
                <w:color w:val="000000"/>
                <w:kern w:val="2"/>
                <w:sz w:val="28"/>
                <w:szCs w:val="28"/>
              </w:rPr>
            </w:pPr>
            <w:r>
              <w:rPr>
                <w:rFonts w:hint="eastAsia" w:ascii="仿宋_GB2312" w:hAnsi="宋体" w:eastAsia="仿宋_GB2312" w:cs="Times New Roman"/>
                <w:color w:val="000000"/>
                <w:kern w:val="2"/>
                <w:sz w:val="28"/>
                <w:szCs w:val="28"/>
              </w:rPr>
              <w:t>负责人              日期              （盖章）</w:t>
            </w:r>
          </w:p>
        </w:tc>
      </w:tr>
    </w:tbl>
    <w:p w14:paraId="547FDEBF">
      <w:pPr>
        <w:ind w:right="2400"/>
        <w:textAlignment w:val="center"/>
        <w:rPr>
          <w:rFonts w:hint="eastAsia" w:ascii="宋体" w:hAnsi="宋体" w:cs="宋体"/>
          <w:color w:val="000000"/>
          <w:sz w:val="40"/>
          <w:szCs w:val="40"/>
        </w:rPr>
      </w:pPr>
    </w:p>
    <w:p w14:paraId="13817606">
      <w:pPr>
        <w:pStyle w:val="4"/>
        <w:ind w:left="0" w:leftChars="0" w:right="-382" w:firstLine="0"/>
        <w:rPr>
          <w:rFonts w:hint="eastAsia"/>
        </w:rPr>
        <w:sectPr>
          <w:pgSz w:w="16838" w:h="11906" w:orient="landscape"/>
          <w:pgMar w:top="1587" w:right="1474" w:bottom="1474" w:left="1587" w:header="851" w:footer="992" w:gutter="0"/>
          <w:cols w:space="720" w:num="1"/>
          <w:docGrid w:type="lines" w:linePitch="312" w:charSpace="0"/>
        </w:sectPr>
      </w:pPr>
    </w:p>
    <w:p w14:paraId="2D3E36E5">
      <w:pPr>
        <w:adjustRightInd w:val="0"/>
        <w:snapToGrid w:val="0"/>
        <w:spacing w:line="540" w:lineRule="exact"/>
        <w:rPr>
          <w:rFonts w:hint="eastAsia" w:ascii="黑体" w:hAnsi="黑体" w:eastAsia="黑体" w:cs="黑体"/>
          <w:sz w:val="32"/>
        </w:rPr>
      </w:pPr>
      <w:r>
        <w:rPr>
          <w:rFonts w:hint="eastAsia" w:ascii="黑体" w:hAnsi="黑体" w:eastAsia="黑体" w:cs="黑体"/>
          <w:sz w:val="32"/>
        </w:rPr>
        <w:t>附件2</w:t>
      </w:r>
    </w:p>
    <w:p w14:paraId="4186618B">
      <w:pPr>
        <w:jc w:val="center"/>
        <w:rPr>
          <w:rFonts w:hint="eastAsia" w:ascii="宋体" w:hAnsi="宋体" w:eastAsia="黑体" w:cs="Times New Roman"/>
          <w:kern w:val="44"/>
          <w:sz w:val="32"/>
          <w:szCs w:val="32"/>
        </w:rPr>
      </w:pPr>
      <w:bookmarkStart w:id="0" w:name="_Toc151478372"/>
      <w:bookmarkStart w:id="1" w:name="_Toc140782179"/>
      <w:bookmarkStart w:id="2" w:name="_Hlk140755337"/>
      <w:r>
        <w:rPr>
          <w:rFonts w:ascii="宋体" w:hAnsi="宋体" w:eastAsia="黑体" w:cs="Times New Roman"/>
          <w:kern w:val="44"/>
          <w:sz w:val="32"/>
          <w:szCs w:val="32"/>
        </w:rPr>
        <w:t>房屋土地权属来源情况核实证明</w:t>
      </w:r>
      <w:bookmarkEnd w:id="0"/>
      <w:bookmarkEnd w:id="1"/>
    </w:p>
    <w:bookmarkEnd w:id="2"/>
    <w:p w14:paraId="5AC02E23">
      <w:pPr>
        <w:pStyle w:val="4"/>
        <w:spacing w:line="240" w:lineRule="auto"/>
        <w:ind w:left="0" w:leftChars="0" w:right="0" w:rightChars="0"/>
        <w:jc w:val="both"/>
        <w:rPr>
          <w:rFonts w:hint="eastAsia" w:eastAsia="仿宋_GB2312"/>
          <w:spacing w:val="20"/>
          <w:sz w:val="28"/>
          <w:szCs w:val="28"/>
        </w:rPr>
      </w:pPr>
      <w:r>
        <w:rPr>
          <w:rFonts w:ascii="黑体" w:hAnsi="黑体" w:eastAsia="黑体"/>
          <w:spacing w:val="20"/>
          <w:sz w:val="28"/>
          <w:szCs w:val="28"/>
        </w:rPr>
        <w:t xml:space="preserve">   </w:t>
      </w:r>
      <w:r>
        <w:rPr>
          <w:rFonts w:hint="eastAsia" w:eastAsia="仿宋_GB2312"/>
          <w:spacing w:val="20"/>
          <w:sz w:val="28"/>
          <w:szCs w:val="28"/>
        </w:rPr>
        <w:t>兹有</w:t>
      </w:r>
      <w:r>
        <w:rPr>
          <w:rFonts w:hint="eastAsia" w:eastAsia="仿宋_GB2312"/>
          <w:sz w:val="28"/>
          <w:szCs w:val="28"/>
          <w:u w:val="single"/>
        </w:rPr>
        <w:t xml:space="preserve">            </w:t>
      </w:r>
      <w:r>
        <w:rPr>
          <w:rFonts w:hint="eastAsia" w:eastAsia="仿宋_GB2312"/>
          <w:spacing w:val="20"/>
          <w:sz w:val="28"/>
          <w:szCs w:val="28"/>
        </w:rPr>
        <w:t>，使用位于</w:t>
      </w:r>
      <w:r>
        <w:rPr>
          <w:rFonts w:hint="eastAsia" w:eastAsia="仿宋_GB2312"/>
          <w:sz w:val="28"/>
          <w:szCs w:val="28"/>
          <w:u w:val="single"/>
        </w:rPr>
        <w:t xml:space="preserve">                                   </w:t>
      </w:r>
    </w:p>
    <w:p w14:paraId="4B8EF844">
      <w:pPr>
        <w:pStyle w:val="4"/>
        <w:spacing w:line="240" w:lineRule="auto"/>
        <w:ind w:left="0" w:leftChars="0" w:right="0" w:rightChars="0"/>
        <w:jc w:val="both"/>
        <w:rPr>
          <w:rFonts w:hint="eastAsia" w:eastAsia="仿宋_GB2312"/>
          <w:spacing w:val="20"/>
          <w:sz w:val="28"/>
          <w:szCs w:val="28"/>
        </w:rPr>
      </w:pPr>
      <w:r>
        <w:rPr>
          <w:rFonts w:hint="eastAsia" w:eastAsia="仿宋_GB2312"/>
          <w:spacing w:val="20"/>
          <w:sz w:val="28"/>
          <w:szCs w:val="28"/>
        </w:rPr>
        <w:t>的宅基地一处，宗地号为</w:t>
      </w:r>
      <w:r>
        <w:rPr>
          <w:rFonts w:hint="eastAsia" w:eastAsia="仿宋_GB2312"/>
          <w:sz w:val="28"/>
          <w:szCs w:val="28"/>
          <w:u w:val="single"/>
        </w:rPr>
        <w:t xml:space="preserve">                     </w:t>
      </w:r>
      <w:r>
        <w:rPr>
          <w:rFonts w:hint="eastAsia" w:eastAsia="仿宋_GB2312"/>
          <w:spacing w:val="20"/>
          <w:sz w:val="28"/>
          <w:szCs w:val="28"/>
        </w:rPr>
        <w:t>，□已发□未发权利证明，□有□未有其他部门批准材料。该宗地系</w:t>
      </w:r>
      <w:r>
        <w:rPr>
          <w:rFonts w:hint="eastAsia" w:eastAsia="仿宋_GB2312"/>
          <w:sz w:val="28"/>
          <w:szCs w:val="28"/>
          <w:u w:val="single"/>
        </w:rPr>
        <w:t xml:space="preserve">        </w:t>
      </w:r>
    </w:p>
    <w:p w14:paraId="405FC17A">
      <w:pPr>
        <w:pStyle w:val="4"/>
        <w:spacing w:line="240" w:lineRule="auto"/>
        <w:ind w:left="0" w:leftChars="0" w:right="0" w:rightChars="0" w:firstLine="0"/>
        <w:jc w:val="both"/>
        <w:rPr>
          <w:rFonts w:hint="eastAsia" w:eastAsia="仿宋_GB2312"/>
          <w:spacing w:val="20"/>
          <w:sz w:val="28"/>
          <w:szCs w:val="28"/>
        </w:rPr>
      </w:pPr>
      <w:r>
        <w:rPr>
          <w:rFonts w:hint="eastAsia" w:eastAsia="仿宋_GB2312"/>
          <w:sz w:val="28"/>
          <w:szCs w:val="28"/>
          <w:u w:val="single"/>
        </w:rPr>
        <w:t xml:space="preserve">      </w:t>
      </w:r>
      <w:r>
        <w:rPr>
          <w:rFonts w:hint="eastAsia" w:eastAsia="仿宋_GB2312"/>
          <w:spacing w:val="20"/>
          <w:sz w:val="28"/>
          <w:szCs w:val="28"/>
        </w:rPr>
        <w:t>年</w:t>
      </w:r>
      <w:r>
        <w:rPr>
          <w:rFonts w:hint="eastAsia" w:eastAsia="仿宋_GB2312"/>
          <w:sz w:val="28"/>
          <w:szCs w:val="28"/>
          <w:u w:val="single"/>
        </w:rPr>
        <w:t xml:space="preserve">     </w:t>
      </w:r>
      <w:r>
        <w:rPr>
          <w:rFonts w:hint="eastAsia" w:eastAsia="仿宋_GB2312"/>
          <w:spacing w:val="20"/>
          <w:sz w:val="28"/>
          <w:szCs w:val="28"/>
        </w:rPr>
        <w:t>月经当时</w:t>
      </w:r>
      <w:r>
        <w:rPr>
          <w:rFonts w:hint="eastAsia" w:eastAsia="仿宋_GB2312"/>
          <w:sz w:val="28"/>
          <w:szCs w:val="28"/>
          <w:u w:val="single"/>
        </w:rPr>
        <w:t xml:space="preserve">        </w:t>
      </w:r>
      <w:r>
        <w:rPr>
          <w:rFonts w:hint="eastAsia" w:eastAsia="仿宋_GB2312"/>
          <w:spacing w:val="20"/>
          <w:sz w:val="28"/>
          <w:szCs w:val="28"/>
        </w:rPr>
        <w:t>生产队（村）批准</w:t>
      </w:r>
      <w:r>
        <w:rPr>
          <w:rFonts w:hint="eastAsia" w:eastAsia="仿宋_GB2312"/>
          <w:sz w:val="28"/>
          <w:szCs w:val="28"/>
          <w:u w:val="single"/>
        </w:rPr>
        <w:t xml:space="preserve">          </w:t>
      </w:r>
      <w:r>
        <w:rPr>
          <w:rFonts w:hint="eastAsia" w:eastAsia="仿宋_GB2312"/>
          <w:spacing w:val="20"/>
          <w:sz w:val="28"/>
          <w:szCs w:val="28"/>
        </w:rPr>
        <w:t>建房占地，批准用地</w:t>
      </w:r>
      <w:r>
        <w:rPr>
          <w:rFonts w:hint="eastAsia" w:eastAsia="仿宋_GB2312"/>
          <w:sz w:val="28"/>
          <w:szCs w:val="28"/>
          <w:u w:val="single"/>
        </w:rPr>
        <w:t xml:space="preserve">          </w:t>
      </w:r>
      <w:r>
        <w:rPr>
          <w:rFonts w:hint="eastAsia" w:eastAsia="仿宋_GB2312"/>
          <w:sz w:val="28"/>
          <w:szCs w:val="28"/>
        </w:rPr>
        <w:t>平方米</w:t>
      </w:r>
      <w:r>
        <w:rPr>
          <w:rFonts w:hint="eastAsia" w:eastAsia="仿宋_GB2312"/>
          <w:spacing w:val="20"/>
          <w:sz w:val="28"/>
          <w:szCs w:val="28"/>
        </w:rPr>
        <w:t>，批准建房</w:t>
      </w:r>
      <w:r>
        <w:rPr>
          <w:rFonts w:hint="eastAsia" w:eastAsia="仿宋_GB2312"/>
          <w:sz w:val="28"/>
          <w:szCs w:val="28"/>
          <w:u w:val="single"/>
        </w:rPr>
        <w:t xml:space="preserve">     </w:t>
      </w:r>
      <w:r>
        <w:rPr>
          <w:rFonts w:hint="eastAsia" w:eastAsia="仿宋_GB2312"/>
          <w:spacing w:val="20"/>
          <w:sz w:val="28"/>
          <w:szCs w:val="28"/>
        </w:rPr>
        <w:t>间。房屋占地面积为</w:t>
      </w:r>
      <w:r>
        <w:rPr>
          <w:rFonts w:hint="eastAsia" w:eastAsia="仿宋_GB2312"/>
          <w:sz w:val="28"/>
          <w:szCs w:val="28"/>
          <w:u w:val="single"/>
        </w:rPr>
        <w:t xml:space="preserve">           </w:t>
      </w:r>
      <w:r>
        <w:rPr>
          <w:rFonts w:hint="eastAsia" w:eastAsia="仿宋_GB2312"/>
          <w:spacing w:val="20"/>
          <w:sz w:val="28"/>
          <w:szCs w:val="28"/>
        </w:rPr>
        <w:t>，房屋建筑面积为</w:t>
      </w:r>
      <w:r>
        <w:rPr>
          <w:rFonts w:hint="eastAsia" w:eastAsia="仿宋_GB2312"/>
          <w:sz w:val="28"/>
          <w:szCs w:val="28"/>
          <w:u w:val="single"/>
        </w:rPr>
        <w:t xml:space="preserve">                 </w:t>
      </w:r>
      <w:r>
        <w:rPr>
          <w:rFonts w:hint="eastAsia" w:eastAsia="仿宋_GB2312"/>
          <w:sz w:val="28"/>
          <w:szCs w:val="28"/>
        </w:rPr>
        <w:t>。</w:t>
      </w:r>
    </w:p>
    <w:p w14:paraId="2BBACFA3">
      <w:pPr>
        <w:adjustRightInd w:val="0"/>
        <w:snapToGrid w:val="0"/>
        <w:spacing w:before="312" w:beforeLines="100"/>
        <w:jc w:val="both"/>
        <w:rPr>
          <w:rFonts w:hint="eastAsia" w:ascii="仿宋_GB2312" w:hAnsi="仿宋_GB2312" w:eastAsia="仿宋_GB2312" w:cs="仿宋_GB2312"/>
          <w:sz w:val="28"/>
          <w:szCs w:val="28"/>
          <w:u w:val="single"/>
        </w:rPr>
      </w:pPr>
      <w:r>
        <w:rPr>
          <w:rFonts w:hint="eastAsia" w:ascii="仿宋_GB2312" w:hAnsi="仿宋_GB2312" w:eastAsia="仿宋_GB2312" w:cs="仿宋_GB2312"/>
          <w:spacing w:val="20"/>
          <w:sz w:val="28"/>
          <w:szCs w:val="28"/>
        </w:rPr>
        <w:t>该宗地土地和房屋权利人为</w:t>
      </w:r>
      <w:r>
        <w:rPr>
          <w:rFonts w:hint="eastAsia" w:ascii="仿宋_GB2312" w:hAnsi="仿宋_GB2312" w:eastAsia="仿宋_GB2312" w:cs="仿宋_GB2312"/>
          <w:sz w:val="28"/>
          <w:szCs w:val="28"/>
          <w:u w:val="single"/>
        </w:rPr>
        <w:t xml:space="preserve">               </w:t>
      </w:r>
      <w:bookmarkStart w:id="3" w:name="_Hlk140750126"/>
    </w:p>
    <w:bookmarkEnd w:id="3"/>
    <w:p w14:paraId="35270F92">
      <w:pPr>
        <w:pStyle w:val="5"/>
        <w:spacing w:before="312" w:beforeLines="100"/>
        <w:ind w:firstLine="640" w:firstLineChars="200"/>
        <w:rPr>
          <w:rFonts w:hint="eastAsia" w:ascii="仿宋_GB2312" w:hAnsi="仿宋_GB2312" w:eastAsia="仿宋_GB2312" w:cs="仿宋_GB2312"/>
          <w:spacing w:val="20"/>
          <w:sz w:val="28"/>
          <w:szCs w:val="28"/>
        </w:rPr>
      </w:pPr>
      <w:r>
        <w:rPr>
          <w:rFonts w:hint="eastAsia" w:ascii="仿宋_GB2312" w:hAnsi="仿宋_GB2312" w:eastAsia="仿宋_GB2312" w:cs="仿宋_GB2312"/>
          <w:spacing w:val="20"/>
          <w:sz w:val="28"/>
          <w:szCs w:val="28"/>
        </w:rPr>
        <w:t>特此证明。</w:t>
      </w:r>
    </w:p>
    <w:p w14:paraId="2C0227B8">
      <w:pPr>
        <w:pStyle w:val="4"/>
        <w:ind w:left="-410" w:right="-382"/>
        <w:rPr>
          <w:rFonts w:hint="eastAsia"/>
        </w:rPr>
      </w:pPr>
    </w:p>
    <w:p w14:paraId="5EB2C7D5">
      <w:pPr>
        <w:spacing w:line="440" w:lineRule="exact"/>
        <w:ind w:firstLine="4200" w:firstLineChars="1500"/>
        <w:rPr>
          <w:rFonts w:hint="eastAsia" w:ascii="仿宋_GB2312" w:hAnsi="仿宋_GB2312" w:eastAsia="仿宋_GB2312" w:cs="仿宋_GB2312"/>
          <w:spacing w:val="20"/>
          <w:sz w:val="28"/>
          <w:szCs w:val="28"/>
        </w:rPr>
      </w:pPr>
      <w:r>
        <w:rPr>
          <w:rFonts w:hint="eastAsia" w:ascii="仿宋_GB2312" w:hAnsi="仿宋_GB2312" w:eastAsia="仿宋_GB2312" w:cs="仿宋_GB2312"/>
          <w:sz w:val="28"/>
          <w:szCs w:val="28"/>
        </w:rPr>
        <w:t xml:space="preserve"> </w:t>
      </w:r>
      <w:r>
        <w:rPr>
          <w:rFonts w:hint="eastAsia" w:ascii="仿宋_GB2312" w:hAnsi="仿宋_GB2312" w:eastAsia="仿宋_GB2312" w:cs="仿宋_GB2312"/>
          <w:sz w:val="28"/>
          <w:szCs w:val="28"/>
          <w:u w:val="single"/>
        </w:rPr>
        <w:t xml:space="preserve">           </w:t>
      </w:r>
      <w:r>
        <w:rPr>
          <w:rFonts w:hint="eastAsia" w:ascii="仿宋_GB2312" w:hAnsi="仿宋_GB2312" w:eastAsia="仿宋_GB2312" w:cs="仿宋_GB2312"/>
          <w:kern w:val="44"/>
          <w:sz w:val="28"/>
          <w:szCs w:val="28"/>
        </w:rPr>
        <w:t>村集体经济合作社（公章）</w:t>
      </w:r>
      <w:r>
        <w:rPr>
          <w:rFonts w:hint="eastAsia" w:ascii="仿宋_GB2312" w:hAnsi="仿宋_GB2312" w:eastAsia="仿宋_GB2312" w:cs="仿宋_GB2312"/>
          <w:spacing w:val="20"/>
          <w:sz w:val="28"/>
          <w:szCs w:val="28"/>
        </w:rPr>
        <w:t xml:space="preserve">  </w:t>
      </w:r>
    </w:p>
    <w:p w14:paraId="3E7A1F9B">
      <w:pPr>
        <w:spacing w:line="440" w:lineRule="exact"/>
        <w:rPr>
          <w:rFonts w:hint="eastAsia" w:ascii="仿宋_GB2312" w:hAnsi="仿宋_GB2312" w:eastAsia="仿宋_GB2312" w:cs="仿宋_GB2312"/>
          <w:spacing w:val="20"/>
          <w:sz w:val="28"/>
          <w:szCs w:val="28"/>
        </w:rPr>
      </w:pPr>
      <w:r>
        <w:rPr>
          <w:rFonts w:hint="eastAsia" w:ascii="仿宋_GB2312" w:hAnsi="仿宋_GB2312" w:eastAsia="仿宋_GB2312" w:cs="仿宋_GB2312"/>
          <w:spacing w:val="20"/>
          <w:sz w:val="28"/>
          <w:szCs w:val="28"/>
        </w:rPr>
        <w:t xml:space="preserve">                         </w:t>
      </w:r>
    </w:p>
    <w:p w14:paraId="1228B05C">
      <w:pPr>
        <w:pStyle w:val="4"/>
        <w:ind w:left="0" w:leftChars="0" w:right="0" w:rightChars="0" w:firstLine="0"/>
        <w:jc w:val="right"/>
        <w:rPr>
          <w:rFonts w:hint="eastAsia" w:eastAsia="仿宋_GB2312"/>
          <w:spacing w:val="20"/>
          <w:sz w:val="28"/>
          <w:szCs w:val="28"/>
        </w:rPr>
      </w:pPr>
      <w:r>
        <w:rPr>
          <w:rFonts w:hint="eastAsia" w:eastAsia="仿宋_GB2312"/>
          <w:spacing w:val="20"/>
          <w:sz w:val="28"/>
          <w:szCs w:val="28"/>
        </w:rPr>
        <w:t xml:space="preserve">负责人（签字按手印）：         </w:t>
      </w:r>
    </w:p>
    <w:p w14:paraId="357B479D">
      <w:pPr>
        <w:pStyle w:val="4"/>
        <w:ind w:left="0" w:leftChars="0" w:right="0" w:rightChars="0"/>
        <w:rPr>
          <w:rFonts w:hint="eastAsia" w:eastAsia="仿宋_GB2312"/>
          <w:spacing w:val="20"/>
          <w:sz w:val="28"/>
          <w:szCs w:val="28"/>
        </w:rPr>
      </w:pPr>
    </w:p>
    <w:p w14:paraId="2A8D0980">
      <w:pPr>
        <w:spacing w:line="440" w:lineRule="exact"/>
        <w:jc w:val="right"/>
        <w:rPr>
          <w:rFonts w:hint="eastAsia" w:ascii="仿宋_GB2312" w:hAnsi="仿宋_GB2312" w:eastAsia="仿宋_GB2312" w:cs="仿宋_GB2312"/>
          <w:spacing w:val="20"/>
          <w:sz w:val="28"/>
          <w:szCs w:val="28"/>
        </w:rPr>
      </w:pPr>
      <w:r>
        <w:rPr>
          <w:rFonts w:hint="eastAsia" w:ascii="仿宋_GB2312" w:hAnsi="仿宋_GB2312" w:eastAsia="仿宋_GB2312" w:cs="仿宋_GB2312"/>
          <w:spacing w:val="20"/>
          <w:sz w:val="28"/>
          <w:szCs w:val="28"/>
        </w:rPr>
        <w:t xml:space="preserve">           年   月   日</w:t>
      </w:r>
    </w:p>
    <w:p w14:paraId="507411EC">
      <w:pPr>
        <w:spacing w:line="480" w:lineRule="exact"/>
        <w:rPr>
          <w:rFonts w:hint="eastAsia" w:ascii="仿宋_GB2312" w:hAnsi="仿宋_GB2312" w:eastAsia="仿宋_GB2312" w:cs="仿宋_GB2312"/>
          <w:kern w:val="44"/>
          <w:sz w:val="28"/>
          <w:szCs w:val="28"/>
        </w:rPr>
      </w:pPr>
      <w:r>
        <w:rPr>
          <w:rFonts w:hint="eastAsia" w:ascii="仿宋_GB2312" w:hAnsi="仿宋_GB2312" w:eastAsia="仿宋_GB2312" w:cs="仿宋_GB2312"/>
          <w:kern w:val="44"/>
          <w:sz w:val="28"/>
          <w:szCs w:val="28"/>
        </w:rPr>
        <w:t>———————————————————————————</w:t>
      </w:r>
    </w:p>
    <w:p w14:paraId="46DFEB7C">
      <w:pPr>
        <w:spacing w:line="800" w:lineRule="exact"/>
        <w:ind w:firstLine="560" w:firstLineChars="200"/>
        <w:rPr>
          <w:rFonts w:hint="eastAsia" w:ascii="仿宋_GB2312" w:hAnsi="仿宋_GB2312" w:eastAsia="仿宋_GB2312" w:cs="仿宋_GB2312"/>
          <w:sz w:val="28"/>
          <w:szCs w:val="28"/>
        </w:rPr>
      </w:pPr>
      <w:r>
        <w:rPr>
          <w:rFonts w:hint="eastAsia" w:ascii="仿宋_GB2312" w:hAnsi="仿宋_GB2312" w:eastAsia="仿宋_GB2312" w:cs="仿宋_GB2312"/>
          <w:kern w:val="44"/>
          <w:sz w:val="28"/>
          <w:szCs w:val="28"/>
        </w:rPr>
        <w:t xml:space="preserve"> </w:t>
      </w:r>
      <w:r>
        <w:rPr>
          <w:rFonts w:hint="eastAsia" w:ascii="仿宋_GB2312" w:hAnsi="仿宋_GB2312" w:eastAsia="仿宋_GB2312" w:cs="仿宋_GB2312"/>
          <w:sz w:val="28"/>
          <w:szCs w:val="28"/>
        </w:rPr>
        <w:t>上述情况属实。</w:t>
      </w:r>
    </w:p>
    <w:p w14:paraId="4823A442">
      <w:pPr>
        <w:jc w:val="right"/>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xml:space="preserve">                        </w:t>
      </w:r>
      <w:r>
        <w:rPr>
          <w:rFonts w:hint="eastAsia" w:ascii="仿宋_GB2312" w:hAnsi="仿宋_GB2312" w:eastAsia="仿宋_GB2312" w:cs="仿宋_GB2312"/>
          <w:sz w:val="28"/>
          <w:szCs w:val="28"/>
          <w:u w:val="single"/>
        </w:rPr>
        <w:t xml:space="preserve">           </w:t>
      </w:r>
      <w:r>
        <w:rPr>
          <w:rFonts w:hint="eastAsia" w:ascii="仿宋_GB2312" w:hAnsi="仿宋_GB2312" w:eastAsia="仿宋_GB2312" w:cs="仿宋_GB2312"/>
          <w:sz w:val="28"/>
          <w:szCs w:val="28"/>
        </w:rPr>
        <w:t>镇(街)人民政府（</w:t>
      </w:r>
      <w:r>
        <w:rPr>
          <w:rFonts w:hint="eastAsia" w:ascii="仿宋_GB2312" w:hAnsi="仿宋_GB2312" w:eastAsia="仿宋_GB2312" w:cs="仿宋_GB2312"/>
          <w:kern w:val="44"/>
          <w:sz w:val="28"/>
          <w:szCs w:val="28"/>
        </w:rPr>
        <w:t>公章</w:t>
      </w:r>
      <w:r>
        <w:rPr>
          <w:rFonts w:hint="eastAsia" w:ascii="仿宋_GB2312" w:hAnsi="仿宋_GB2312" w:eastAsia="仿宋_GB2312" w:cs="仿宋_GB2312"/>
          <w:sz w:val="28"/>
          <w:szCs w:val="28"/>
        </w:rPr>
        <w:t>）</w:t>
      </w:r>
    </w:p>
    <w:p w14:paraId="613938FC">
      <w:pPr>
        <w:pStyle w:val="4"/>
        <w:ind w:left="-410" w:right="-382"/>
        <w:rPr>
          <w:rFonts w:hint="eastAsia" w:eastAsia="仿宋_GB2312"/>
        </w:rPr>
      </w:pPr>
    </w:p>
    <w:p w14:paraId="00B7F283">
      <w:pPr>
        <w:pStyle w:val="4"/>
        <w:ind w:left="-410" w:right="-382" w:firstLine="2080" w:firstLineChars="650"/>
        <w:jc w:val="right"/>
        <w:rPr>
          <w:rFonts w:hint="eastAsia" w:eastAsia="仿宋_GB2312"/>
          <w:spacing w:val="20"/>
          <w:sz w:val="28"/>
          <w:szCs w:val="28"/>
        </w:rPr>
      </w:pPr>
      <w:r>
        <w:rPr>
          <w:rFonts w:hint="eastAsia" w:eastAsia="仿宋_GB2312"/>
          <w:spacing w:val="20"/>
          <w:sz w:val="28"/>
          <w:szCs w:val="28"/>
        </w:rPr>
        <w:t>负责人（签章）：</w:t>
      </w:r>
    </w:p>
    <w:p w14:paraId="31D5446E">
      <w:pPr>
        <w:pStyle w:val="4"/>
        <w:ind w:left="-410" w:right="-382" w:firstLine="1950" w:firstLineChars="650"/>
        <w:rPr>
          <w:rFonts w:hint="eastAsia" w:eastAsia="仿宋_GB2312"/>
        </w:rPr>
      </w:pPr>
    </w:p>
    <w:p w14:paraId="0BBD79BE">
      <w:pPr>
        <w:pStyle w:val="5"/>
        <w:jc w:val="right"/>
        <w:rPr>
          <w:rFonts w:hint="eastAsia" w:ascii="仿宋_GB2312" w:hAnsi="仿宋_GB2312" w:eastAsia="仿宋_GB2312" w:cs="仿宋_GB2312"/>
        </w:rPr>
      </w:pPr>
      <w:r>
        <w:rPr>
          <w:rFonts w:hint="eastAsia" w:ascii="仿宋_GB2312" w:hAnsi="仿宋_GB2312" w:eastAsia="仿宋_GB2312" w:cs="仿宋_GB2312"/>
          <w:sz w:val="28"/>
          <w:szCs w:val="28"/>
        </w:rPr>
        <w:t xml:space="preserve">                                    年    月    日</w:t>
      </w:r>
    </w:p>
    <w:sectPr>
      <w:pgSz w:w="11906" w:h="16838"/>
      <w:pgMar w:top="2098" w:right="1474" w:bottom="1984" w:left="1587"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Droid Sans">
    <w:altName w:val="微软雅黑"/>
    <w:panose1 w:val="00000000000000000000"/>
    <w:charset w:val="00"/>
    <w:family w:val="auto"/>
    <w:pitch w:val="default"/>
    <w:sig w:usb0="00000000" w:usb1="00000000" w:usb2="00000000" w:usb3="00000000" w:csb0="00040001" w:csb1="00000000"/>
  </w:font>
  <w:font w:name="微软雅黑">
    <w:panose1 w:val="020B0503020204020204"/>
    <w:charset w:val="86"/>
    <w:family w:val="auto"/>
    <w:pitch w:val="default"/>
    <w:sig w:usb0="80000287" w:usb1="2ACF3C50" w:usb2="00000016" w:usb3="00000000" w:csb0="0004001F" w:csb1="00000000"/>
  </w:font>
  <w:font w:name="仿宋_GB2312">
    <w:panose1 w:val="02010609030101010101"/>
    <w:charset w:val="86"/>
    <w:family w:val="modern"/>
    <w:pitch w:val="default"/>
    <w:sig w:usb0="00000001" w:usb1="080E0000" w:usb2="00000000" w:usb3="00000000" w:csb0="00040000" w:csb1="00000000"/>
  </w:font>
  <w:font w:name="方正小标宋简体">
    <w:panose1 w:val="02000000000000000000"/>
    <w:charset w:val="86"/>
    <w:family w:val="script"/>
    <w:pitch w:val="default"/>
    <w:sig w:usb0="00000001" w:usb1="08000000" w:usb2="00000000" w:usb3="00000000" w:csb0="00040000" w:csb1="00000000"/>
  </w:font>
  <w:font w:name="楷体_GB2312">
    <w:altName w:val="楷体"/>
    <w:panose1 w:val="02010609030101010101"/>
    <w:charset w:val="86"/>
    <w:family w:val="modern"/>
    <w:pitch w:val="default"/>
    <w:sig w:usb0="00000000" w:usb1="00000000" w:usb2="00000000" w:usb3="00000000" w:csb0="00040000" w:csb1="00000000"/>
  </w:font>
  <w:font w:name="Segoe UI">
    <w:panose1 w:val="020B0502040204020203"/>
    <w:charset w:val="00"/>
    <w:family w:val="swiss"/>
    <w:pitch w:val="default"/>
    <w:sig w:usb0="E4002EFF" w:usb1="C000E47F" w:usb2="00000009" w:usb3="00000000" w:csb0="200001FF"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CD710B3">
    <w:pPr>
      <w:pStyle w:val="5"/>
    </w:pPr>
    <w: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4BDF1BA7">
                          <w:pPr>
                            <w:pStyle w:val="5"/>
                            <w:rPr>
                              <w:rFonts w:hint="eastAsia" w:ascii="宋体" w:hAnsi="宋体" w:cs="宋体"/>
                              <w:sz w:val="28"/>
                              <w:szCs w:val="44"/>
                            </w:rPr>
                          </w:pPr>
                          <w:r>
                            <w:rPr>
                              <w:rFonts w:hint="eastAsia" w:ascii="宋体" w:hAnsi="宋体" w:cs="宋体"/>
                              <w:sz w:val="28"/>
                              <w:szCs w:val="44"/>
                            </w:rPr>
                            <w:t xml:space="preserve">— </w:t>
                          </w:r>
                          <w:r>
                            <w:rPr>
                              <w:rFonts w:hint="eastAsia" w:ascii="宋体" w:hAnsi="宋体" w:cs="宋体"/>
                              <w:sz w:val="28"/>
                              <w:szCs w:val="44"/>
                            </w:rPr>
                            <w:fldChar w:fldCharType="begin"/>
                          </w:r>
                          <w:r>
                            <w:rPr>
                              <w:rFonts w:hint="eastAsia" w:ascii="宋体" w:hAnsi="宋体" w:cs="宋体"/>
                              <w:sz w:val="28"/>
                              <w:szCs w:val="44"/>
                            </w:rPr>
                            <w:instrText xml:space="preserve"> PAGE  \* MERGEFORMAT </w:instrText>
                          </w:r>
                          <w:r>
                            <w:rPr>
                              <w:rFonts w:hint="eastAsia" w:ascii="宋体" w:hAnsi="宋体" w:cs="宋体"/>
                              <w:sz w:val="28"/>
                              <w:szCs w:val="44"/>
                            </w:rPr>
                            <w:fldChar w:fldCharType="separate"/>
                          </w:r>
                          <w:r>
                            <w:rPr>
                              <w:rFonts w:hint="eastAsia" w:ascii="宋体" w:hAnsi="宋体" w:cs="宋体"/>
                              <w:sz w:val="28"/>
                              <w:szCs w:val="44"/>
                            </w:rPr>
                            <w:t>1</w:t>
                          </w:r>
                          <w:r>
                            <w:rPr>
                              <w:rFonts w:hint="eastAsia" w:ascii="宋体" w:hAnsi="宋体" w:cs="宋体"/>
                              <w:sz w:val="28"/>
                              <w:szCs w:val="44"/>
                            </w:rPr>
                            <w:fldChar w:fldCharType="end"/>
                          </w:r>
                          <w:r>
                            <w:rPr>
                              <w:rFonts w:hint="eastAsia" w:ascii="宋体" w:hAnsi="宋体" w:cs="宋体"/>
                              <w:sz w:val="28"/>
                              <w:szCs w:val="44"/>
                            </w:rPr>
                            <w:t xml:space="preserve"> —</w:t>
                          </w:r>
                        </w:p>
                      </w:txbxContent>
                    </wps:txbx>
                    <wps:bodyPr wrap="none" lIns="0" tIns="0" rIns="0" bIns="0">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">
              <v:fill on="f" focussize="0,0"/>
              <v:stroke on="f"/>
              <v:imagedata o:title=""/>
              <o:lock v:ext="edit" aspectratio="f"/>
              <v:textbox inset="0mm,0mm,0mm,0mm" style="mso-fit-shape-to-text:t;">
                <w:txbxContent>
                  <w:p w14:paraId="4BDF1BA7">
                    <w:pPr>
                      <w:pStyle w:val="5"/>
                      <w:rPr>
                        <w:rFonts w:hint="eastAsia" w:ascii="宋体" w:hAnsi="宋体" w:cs="宋体"/>
                        <w:sz w:val="28"/>
                        <w:szCs w:val="44"/>
                      </w:rPr>
                    </w:pPr>
                    <w:r>
                      <w:rPr>
                        <w:rFonts w:hint="eastAsia" w:ascii="宋体" w:hAnsi="宋体" w:cs="宋体"/>
                        <w:sz w:val="28"/>
                        <w:szCs w:val="44"/>
                      </w:rPr>
                      <w:t xml:space="preserve">— </w:t>
                    </w:r>
                    <w:r>
                      <w:rPr>
                        <w:rFonts w:hint="eastAsia" w:ascii="宋体" w:hAnsi="宋体" w:cs="宋体"/>
                        <w:sz w:val="28"/>
                        <w:szCs w:val="44"/>
                      </w:rPr>
                      <w:fldChar w:fldCharType="begin"/>
                    </w:r>
                    <w:r>
                      <w:rPr>
                        <w:rFonts w:hint="eastAsia" w:ascii="宋体" w:hAnsi="宋体" w:cs="宋体"/>
                        <w:sz w:val="28"/>
                        <w:szCs w:val="44"/>
                      </w:rPr>
                      <w:instrText xml:space="preserve"> PAGE  \* MERGEFORMAT </w:instrText>
                    </w:r>
                    <w:r>
                      <w:rPr>
                        <w:rFonts w:hint="eastAsia" w:ascii="宋体" w:hAnsi="宋体" w:cs="宋体"/>
                        <w:sz w:val="28"/>
                        <w:szCs w:val="44"/>
                      </w:rPr>
                      <w:fldChar w:fldCharType="separate"/>
                    </w:r>
                    <w:r>
                      <w:rPr>
                        <w:rFonts w:hint="eastAsia" w:ascii="宋体" w:hAnsi="宋体" w:cs="宋体"/>
                        <w:sz w:val="28"/>
                        <w:szCs w:val="44"/>
                      </w:rPr>
                      <w:t>1</w:t>
                    </w:r>
                    <w:r>
                      <w:rPr>
                        <w:rFonts w:hint="eastAsia" w:ascii="宋体" w:hAnsi="宋体" w:cs="宋体"/>
                        <w:sz w:val="28"/>
                        <w:szCs w:val="44"/>
                      </w:rPr>
                      <w:fldChar w:fldCharType="end"/>
                    </w:r>
                    <w:r>
                      <w:rPr>
                        <w:rFonts w:hint="eastAsia" w:ascii="宋体" w:hAnsi="宋体" w:cs="宋体"/>
                        <w:sz w:val="28"/>
                        <w:szCs w:val="44"/>
                      </w:rPr>
                      <w:t xml:space="preserve"> —</w:t>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ADAE23AF"/>
    <w:multiLevelType w:val="singleLevel"/>
    <w:tmpl w:val="ADAE23AF"/>
    <w:lvl w:ilvl="0" w:tentative="0">
      <w:start w:val="3"/>
      <w:numFmt w:val="decimal"/>
      <w:lvlText w:val="%1."/>
      <w:lvlJc w:val="left"/>
      <w:pPr>
        <w:tabs>
          <w:tab w:val="left" w:pos="312"/>
        </w:tabs>
      </w:pPr>
      <w:rPr>
        <w:rFonts w:hint="default"/>
        <w:b/>
        <w:bCs/>
        <w:sz w:val="32"/>
        <w:szCs w:val="32"/>
      </w:rPr>
    </w:lvl>
  </w:abstractNum>
  <w:abstractNum w:abstractNumId="1">
    <w:nsid w:val="B48C9838"/>
    <w:multiLevelType w:val="singleLevel"/>
    <w:tmpl w:val="B48C9838"/>
    <w:lvl w:ilvl="0" w:tentative="0">
      <w:start w:val="2"/>
      <w:numFmt w:val="decimal"/>
      <w:lvlText w:val="%1."/>
      <w:lvlJc w:val="left"/>
      <w:pPr>
        <w:tabs>
          <w:tab w:val="left" w:pos="312"/>
        </w:tabs>
      </w:pPr>
    </w:lvl>
  </w:abstractNum>
  <w:abstractNum w:abstractNumId="2">
    <w:nsid w:val="E7D9B6FA"/>
    <w:multiLevelType w:val="singleLevel"/>
    <w:tmpl w:val="E7D9B6FA"/>
    <w:lvl w:ilvl="0" w:tentative="0">
      <w:start w:val="1"/>
      <w:numFmt w:val="decimal"/>
      <w:suff w:val="nothing"/>
      <w:lvlText w:val="（%1）"/>
      <w:lvlJc w:val="left"/>
    </w:lvl>
  </w:abstractNum>
  <w:abstractNum w:abstractNumId="3">
    <w:nsid w:val="435314D7"/>
    <w:multiLevelType w:val="multilevel"/>
    <w:tmpl w:val="435314D7"/>
    <w:lvl w:ilvl="0" w:tentative="0">
      <w:start w:val="1"/>
      <w:numFmt w:val="chineseCountingThousand"/>
      <w:lvlText w:val="(%1)"/>
      <w:lvlJc w:val="left"/>
      <w:pPr>
        <w:ind w:left="1080" w:hanging="440"/>
      </w:pPr>
    </w:lvl>
    <w:lvl w:ilvl="1" w:tentative="0">
      <w:start w:val="1"/>
      <w:numFmt w:val="lowerLetter"/>
      <w:lvlText w:val="%2)"/>
      <w:lvlJc w:val="left"/>
      <w:pPr>
        <w:ind w:left="1520" w:hanging="440"/>
      </w:pPr>
    </w:lvl>
    <w:lvl w:ilvl="2" w:tentative="0">
      <w:start w:val="1"/>
      <w:numFmt w:val="lowerRoman"/>
      <w:lvlText w:val="%3."/>
      <w:lvlJc w:val="right"/>
      <w:pPr>
        <w:ind w:left="1960" w:hanging="440"/>
      </w:pPr>
    </w:lvl>
    <w:lvl w:ilvl="3" w:tentative="0">
      <w:start w:val="1"/>
      <w:numFmt w:val="decimal"/>
      <w:lvlText w:val="%4."/>
      <w:lvlJc w:val="left"/>
      <w:pPr>
        <w:ind w:left="2400" w:hanging="440"/>
      </w:pPr>
    </w:lvl>
    <w:lvl w:ilvl="4" w:tentative="0">
      <w:start w:val="1"/>
      <w:numFmt w:val="lowerLetter"/>
      <w:lvlText w:val="%5)"/>
      <w:lvlJc w:val="left"/>
      <w:pPr>
        <w:ind w:left="2840" w:hanging="440"/>
      </w:pPr>
    </w:lvl>
    <w:lvl w:ilvl="5" w:tentative="0">
      <w:start w:val="1"/>
      <w:numFmt w:val="lowerRoman"/>
      <w:lvlText w:val="%6."/>
      <w:lvlJc w:val="right"/>
      <w:pPr>
        <w:ind w:left="3280" w:hanging="440"/>
      </w:pPr>
    </w:lvl>
    <w:lvl w:ilvl="6" w:tentative="0">
      <w:start w:val="1"/>
      <w:numFmt w:val="decimal"/>
      <w:lvlText w:val="%7."/>
      <w:lvlJc w:val="left"/>
      <w:pPr>
        <w:ind w:left="3720" w:hanging="440"/>
      </w:pPr>
    </w:lvl>
    <w:lvl w:ilvl="7" w:tentative="0">
      <w:start w:val="1"/>
      <w:numFmt w:val="lowerLetter"/>
      <w:lvlText w:val="%8)"/>
      <w:lvlJc w:val="left"/>
      <w:pPr>
        <w:ind w:left="4160" w:hanging="440"/>
      </w:pPr>
    </w:lvl>
    <w:lvl w:ilvl="8" w:tentative="0">
      <w:start w:val="1"/>
      <w:numFmt w:val="lowerRoman"/>
      <w:lvlText w:val="%9."/>
      <w:lvlJc w:val="right"/>
      <w:pPr>
        <w:ind w:left="4600" w:hanging="440"/>
      </w:pPr>
    </w:lvl>
  </w:abstractNum>
  <w:num w:numId="1">
    <w:abstractNumId w:val="0"/>
  </w:num>
  <w:num w:numId="2">
    <w:abstractNumId w:val="2"/>
  </w:num>
  <w:num w:numId="3">
    <w:abstractNumId w:val="3"/>
  </w:num>
  <w:num w:numId="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40"/>
  <w:embedSystemFonts/>
  <w:bordersDoNotSurroundHeader w:val="0"/>
  <w:bordersDoNotSurroundFooter w:val="0"/>
  <w:trackRevisions w:val="1"/>
  <w:documentProtection w:enforcement="0"/>
  <w:defaultTabStop w:val="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NGVmNTU5ZjM2MzZmODBlOGY0MTljMmRjM2IxMjY2MWEifQ=="/>
  </w:docVars>
  <w:rsids>
    <w:rsidRoot w:val="71542483"/>
    <w:rsid w:val="00035F27"/>
    <w:rsid w:val="00036716"/>
    <w:rsid w:val="00037973"/>
    <w:rsid w:val="00042778"/>
    <w:rsid w:val="00056143"/>
    <w:rsid w:val="00056352"/>
    <w:rsid w:val="00066D72"/>
    <w:rsid w:val="00072D10"/>
    <w:rsid w:val="00081FBD"/>
    <w:rsid w:val="000A3676"/>
    <w:rsid w:val="000B61EB"/>
    <w:rsid w:val="000D5E79"/>
    <w:rsid w:val="0011407E"/>
    <w:rsid w:val="00141738"/>
    <w:rsid w:val="00142B86"/>
    <w:rsid w:val="001705A0"/>
    <w:rsid w:val="0017564D"/>
    <w:rsid w:val="00191A7F"/>
    <w:rsid w:val="001B74D8"/>
    <w:rsid w:val="001C5C43"/>
    <w:rsid w:val="001D3F0F"/>
    <w:rsid w:val="001E6C47"/>
    <w:rsid w:val="00253929"/>
    <w:rsid w:val="002A7DA1"/>
    <w:rsid w:val="002D2641"/>
    <w:rsid w:val="002D4CA7"/>
    <w:rsid w:val="00330FA3"/>
    <w:rsid w:val="003341C1"/>
    <w:rsid w:val="0035439F"/>
    <w:rsid w:val="00373D7B"/>
    <w:rsid w:val="00393B06"/>
    <w:rsid w:val="003F69D5"/>
    <w:rsid w:val="00424698"/>
    <w:rsid w:val="00440D0C"/>
    <w:rsid w:val="0046432E"/>
    <w:rsid w:val="00464D44"/>
    <w:rsid w:val="0049675C"/>
    <w:rsid w:val="004A4DBF"/>
    <w:rsid w:val="004B5251"/>
    <w:rsid w:val="004D2B86"/>
    <w:rsid w:val="004D5B5F"/>
    <w:rsid w:val="004E3F91"/>
    <w:rsid w:val="004F323C"/>
    <w:rsid w:val="005027EF"/>
    <w:rsid w:val="005050B3"/>
    <w:rsid w:val="0053607E"/>
    <w:rsid w:val="00556AF8"/>
    <w:rsid w:val="00577A30"/>
    <w:rsid w:val="005935B4"/>
    <w:rsid w:val="005D36B9"/>
    <w:rsid w:val="005D79A9"/>
    <w:rsid w:val="005E6306"/>
    <w:rsid w:val="005F64C9"/>
    <w:rsid w:val="0063544D"/>
    <w:rsid w:val="0066754B"/>
    <w:rsid w:val="006831DE"/>
    <w:rsid w:val="0069452D"/>
    <w:rsid w:val="00694E64"/>
    <w:rsid w:val="0069625F"/>
    <w:rsid w:val="006B361D"/>
    <w:rsid w:val="00706B59"/>
    <w:rsid w:val="007329AF"/>
    <w:rsid w:val="00740C57"/>
    <w:rsid w:val="00774528"/>
    <w:rsid w:val="00781E0F"/>
    <w:rsid w:val="00786EB7"/>
    <w:rsid w:val="007B45E0"/>
    <w:rsid w:val="007C3D05"/>
    <w:rsid w:val="007E716A"/>
    <w:rsid w:val="008313E9"/>
    <w:rsid w:val="00832496"/>
    <w:rsid w:val="0085686D"/>
    <w:rsid w:val="00861C9A"/>
    <w:rsid w:val="00892F36"/>
    <w:rsid w:val="0089468D"/>
    <w:rsid w:val="008B1784"/>
    <w:rsid w:val="008B181E"/>
    <w:rsid w:val="008C4AF5"/>
    <w:rsid w:val="008E34DA"/>
    <w:rsid w:val="00914459"/>
    <w:rsid w:val="00926F30"/>
    <w:rsid w:val="0094118C"/>
    <w:rsid w:val="0096762B"/>
    <w:rsid w:val="009A190F"/>
    <w:rsid w:val="009C4A31"/>
    <w:rsid w:val="00A02372"/>
    <w:rsid w:val="00A21892"/>
    <w:rsid w:val="00A25CEE"/>
    <w:rsid w:val="00A5139F"/>
    <w:rsid w:val="00A57566"/>
    <w:rsid w:val="00A843E0"/>
    <w:rsid w:val="00A860DC"/>
    <w:rsid w:val="00AE7E79"/>
    <w:rsid w:val="00AF1AAC"/>
    <w:rsid w:val="00B07012"/>
    <w:rsid w:val="00B1051E"/>
    <w:rsid w:val="00B41A4D"/>
    <w:rsid w:val="00B530EF"/>
    <w:rsid w:val="00B738D5"/>
    <w:rsid w:val="00BA6270"/>
    <w:rsid w:val="00BB19A0"/>
    <w:rsid w:val="00BB7CAF"/>
    <w:rsid w:val="00C4237C"/>
    <w:rsid w:val="00C613E3"/>
    <w:rsid w:val="00C858EB"/>
    <w:rsid w:val="00CA2ACA"/>
    <w:rsid w:val="00CA7F3D"/>
    <w:rsid w:val="00CD112A"/>
    <w:rsid w:val="00CD5F72"/>
    <w:rsid w:val="00CE2F6B"/>
    <w:rsid w:val="00CF5CAF"/>
    <w:rsid w:val="00D17A55"/>
    <w:rsid w:val="00D50858"/>
    <w:rsid w:val="00D53643"/>
    <w:rsid w:val="00D754C9"/>
    <w:rsid w:val="00DA1002"/>
    <w:rsid w:val="00DD5DE3"/>
    <w:rsid w:val="00E12072"/>
    <w:rsid w:val="00E66068"/>
    <w:rsid w:val="00E7434A"/>
    <w:rsid w:val="00E94C1D"/>
    <w:rsid w:val="00EB546D"/>
    <w:rsid w:val="00EE2E7A"/>
    <w:rsid w:val="00EF2783"/>
    <w:rsid w:val="00F22E70"/>
    <w:rsid w:val="00F33136"/>
    <w:rsid w:val="00F5666B"/>
    <w:rsid w:val="00F96A66"/>
    <w:rsid w:val="00FB4F39"/>
    <w:rsid w:val="00FF0C27"/>
    <w:rsid w:val="00FF1CF8"/>
    <w:rsid w:val="01046810"/>
    <w:rsid w:val="012F4816"/>
    <w:rsid w:val="01E02CA0"/>
    <w:rsid w:val="0227311A"/>
    <w:rsid w:val="02E24B61"/>
    <w:rsid w:val="03CD109D"/>
    <w:rsid w:val="04154902"/>
    <w:rsid w:val="04351281"/>
    <w:rsid w:val="045521C0"/>
    <w:rsid w:val="05804BC2"/>
    <w:rsid w:val="05E8335B"/>
    <w:rsid w:val="06045AE4"/>
    <w:rsid w:val="063D4CBA"/>
    <w:rsid w:val="06AE5BB8"/>
    <w:rsid w:val="07397B77"/>
    <w:rsid w:val="07AF7E3A"/>
    <w:rsid w:val="07B078E1"/>
    <w:rsid w:val="08A92ADB"/>
    <w:rsid w:val="08AB6853"/>
    <w:rsid w:val="09297259"/>
    <w:rsid w:val="09B94F9F"/>
    <w:rsid w:val="0B5C5BE2"/>
    <w:rsid w:val="0C0324D8"/>
    <w:rsid w:val="0C474AE5"/>
    <w:rsid w:val="0C8E1357"/>
    <w:rsid w:val="0D2C2E02"/>
    <w:rsid w:val="0D331C73"/>
    <w:rsid w:val="10FF0281"/>
    <w:rsid w:val="118F0649"/>
    <w:rsid w:val="11A7184B"/>
    <w:rsid w:val="125F245C"/>
    <w:rsid w:val="125F4F94"/>
    <w:rsid w:val="12937929"/>
    <w:rsid w:val="134A4015"/>
    <w:rsid w:val="144B0EEA"/>
    <w:rsid w:val="14B7657F"/>
    <w:rsid w:val="14BC1DE8"/>
    <w:rsid w:val="14DA3910"/>
    <w:rsid w:val="150A6757"/>
    <w:rsid w:val="161964C6"/>
    <w:rsid w:val="177B7D38"/>
    <w:rsid w:val="179B5CE4"/>
    <w:rsid w:val="180F222F"/>
    <w:rsid w:val="188A024A"/>
    <w:rsid w:val="18AE1A47"/>
    <w:rsid w:val="193463F1"/>
    <w:rsid w:val="1940474E"/>
    <w:rsid w:val="194B7296"/>
    <w:rsid w:val="195E2DFC"/>
    <w:rsid w:val="1A497C7A"/>
    <w:rsid w:val="1A905843"/>
    <w:rsid w:val="1E9A6F10"/>
    <w:rsid w:val="1EA14E64"/>
    <w:rsid w:val="1F000F73"/>
    <w:rsid w:val="1F2B3DF2"/>
    <w:rsid w:val="1FCD4EA9"/>
    <w:rsid w:val="20251B76"/>
    <w:rsid w:val="207275CA"/>
    <w:rsid w:val="2143014B"/>
    <w:rsid w:val="219A2889"/>
    <w:rsid w:val="21E929D0"/>
    <w:rsid w:val="22477195"/>
    <w:rsid w:val="233E66B2"/>
    <w:rsid w:val="2387676F"/>
    <w:rsid w:val="24D10F97"/>
    <w:rsid w:val="25453733"/>
    <w:rsid w:val="257C7A5D"/>
    <w:rsid w:val="26887965"/>
    <w:rsid w:val="26D80926"/>
    <w:rsid w:val="270D7E31"/>
    <w:rsid w:val="28013942"/>
    <w:rsid w:val="28B9246E"/>
    <w:rsid w:val="28DE0127"/>
    <w:rsid w:val="29942785"/>
    <w:rsid w:val="29CE1F49"/>
    <w:rsid w:val="2A095616"/>
    <w:rsid w:val="2A3D6458"/>
    <w:rsid w:val="2A7D3430"/>
    <w:rsid w:val="2AC532FC"/>
    <w:rsid w:val="2BB331A5"/>
    <w:rsid w:val="2BFA09C1"/>
    <w:rsid w:val="2C1D0F66"/>
    <w:rsid w:val="2C32240E"/>
    <w:rsid w:val="2C4958B7"/>
    <w:rsid w:val="2CC55886"/>
    <w:rsid w:val="2CCF2096"/>
    <w:rsid w:val="2D0F5DDB"/>
    <w:rsid w:val="2DB33A63"/>
    <w:rsid w:val="2DDC17A1"/>
    <w:rsid w:val="2E796B1A"/>
    <w:rsid w:val="2FA42114"/>
    <w:rsid w:val="300071FA"/>
    <w:rsid w:val="30576915"/>
    <w:rsid w:val="30597722"/>
    <w:rsid w:val="31E00A6C"/>
    <w:rsid w:val="322A1A20"/>
    <w:rsid w:val="325C3658"/>
    <w:rsid w:val="331309CD"/>
    <w:rsid w:val="338814E6"/>
    <w:rsid w:val="34D67F04"/>
    <w:rsid w:val="37985A54"/>
    <w:rsid w:val="39243934"/>
    <w:rsid w:val="39401B03"/>
    <w:rsid w:val="3C4F6C2D"/>
    <w:rsid w:val="3C8A6B1A"/>
    <w:rsid w:val="3D934BE4"/>
    <w:rsid w:val="3DB83C47"/>
    <w:rsid w:val="3E472498"/>
    <w:rsid w:val="3F4E32DB"/>
    <w:rsid w:val="405A7D91"/>
    <w:rsid w:val="40E8793D"/>
    <w:rsid w:val="41213BA9"/>
    <w:rsid w:val="425855EE"/>
    <w:rsid w:val="42FC147E"/>
    <w:rsid w:val="436438EC"/>
    <w:rsid w:val="43A464CA"/>
    <w:rsid w:val="43DC02A9"/>
    <w:rsid w:val="43EB5DCB"/>
    <w:rsid w:val="44CF1336"/>
    <w:rsid w:val="46ED1809"/>
    <w:rsid w:val="47392CA0"/>
    <w:rsid w:val="48117779"/>
    <w:rsid w:val="492F09D1"/>
    <w:rsid w:val="49830203"/>
    <w:rsid w:val="4A900D25"/>
    <w:rsid w:val="4B0503D4"/>
    <w:rsid w:val="4B3043BA"/>
    <w:rsid w:val="4B4E5460"/>
    <w:rsid w:val="4B95182F"/>
    <w:rsid w:val="4BD816D6"/>
    <w:rsid w:val="4D5819A6"/>
    <w:rsid w:val="4D9E7229"/>
    <w:rsid w:val="4D9F1DD9"/>
    <w:rsid w:val="4E2C7591"/>
    <w:rsid w:val="4E740A1F"/>
    <w:rsid w:val="4F190EAA"/>
    <w:rsid w:val="4FD23D59"/>
    <w:rsid w:val="500A17F7"/>
    <w:rsid w:val="515A112D"/>
    <w:rsid w:val="535B5D4C"/>
    <w:rsid w:val="5373383D"/>
    <w:rsid w:val="53E45D42"/>
    <w:rsid w:val="548A16E2"/>
    <w:rsid w:val="54D23DEC"/>
    <w:rsid w:val="56235D06"/>
    <w:rsid w:val="57087F99"/>
    <w:rsid w:val="570E771B"/>
    <w:rsid w:val="574F3E1A"/>
    <w:rsid w:val="5A7F0880"/>
    <w:rsid w:val="5C015EA3"/>
    <w:rsid w:val="5CE71579"/>
    <w:rsid w:val="5D047455"/>
    <w:rsid w:val="5D8F0C2B"/>
    <w:rsid w:val="5DD204D5"/>
    <w:rsid w:val="5E962300"/>
    <w:rsid w:val="5EE96902"/>
    <w:rsid w:val="5F2825B7"/>
    <w:rsid w:val="600F4147"/>
    <w:rsid w:val="606109FE"/>
    <w:rsid w:val="61783BA6"/>
    <w:rsid w:val="63AE011A"/>
    <w:rsid w:val="63AF3CC9"/>
    <w:rsid w:val="64CA1C60"/>
    <w:rsid w:val="6521026B"/>
    <w:rsid w:val="65DA6FA5"/>
    <w:rsid w:val="6630368E"/>
    <w:rsid w:val="66630D48"/>
    <w:rsid w:val="6699204A"/>
    <w:rsid w:val="66EA3DFC"/>
    <w:rsid w:val="67394F66"/>
    <w:rsid w:val="687731D1"/>
    <w:rsid w:val="689A572B"/>
    <w:rsid w:val="6A2C3B47"/>
    <w:rsid w:val="6A554E4C"/>
    <w:rsid w:val="6AB37DC4"/>
    <w:rsid w:val="6CD56718"/>
    <w:rsid w:val="6D233278"/>
    <w:rsid w:val="6D9B34BE"/>
    <w:rsid w:val="6E2E0238"/>
    <w:rsid w:val="6F22253F"/>
    <w:rsid w:val="708C75F2"/>
    <w:rsid w:val="70B54896"/>
    <w:rsid w:val="71542483"/>
    <w:rsid w:val="7278201F"/>
    <w:rsid w:val="72CE4C4B"/>
    <w:rsid w:val="73217FC1"/>
    <w:rsid w:val="74B27F62"/>
    <w:rsid w:val="7647308D"/>
    <w:rsid w:val="765B3226"/>
    <w:rsid w:val="76633B5B"/>
    <w:rsid w:val="766703E1"/>
    <w:rsid w:val="76F63FC2"/>
    <w:rsid w:val="772C162A"/>
    <w:rsid w:val="775420B2"/>
    <w:rsid w:val="77F9150C"/>
    <w:rsid w:val="7A8772A3"/>
    <w:rsid w:val="7B242DDD"/>
    <w:rsid w:val="7B2D5CA5"/>
    <w:rsid w:val="7B634722"/>
    <w:rsid w:val="7BE24720"/>
    <w:rsid w:val="7C4B2553"/>
    <w:rsid w:val="7C937374"/>
    <w:rsid w:val="7DF10ED8"/>
    <w:rsid w:val="7DF14984"/>
    <w:rsid w:val="7E2E74F4"/>
    <w:rsid w:val="7E9311E1"/>
    <w:rsid w:val="7EBC1B0B"/>
    <w:rsid w:val="7EEB20FF"/>
    <w:rsid w:val="7F390C01"/>
    <w:rsid w:val="7FFD29D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qFormat="1"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semiHidden="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qFormat="1"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semiHidden="0" w:name="Normal Table"/>
    <w:lsdException w:qFormat="1"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rPr>
      <w:rFonts w:ascii="Calibri" w:hAnsi="Calibri" w:eastAsia="宋体" w:cs="Droid Sans"/>
      <w:sz w:val="24"/>
      <w:szCs w:val="24"/>
      <w:lang w:val="en-US" w:eastAsia="zh-CN" w:bidi="ar-SA"/>
    </w:rPr>
  </w:style>
  <w:style w:type="character" w:default="1" w:styleId="10">
    <w:name w:val="Default Paragraph Font"/>
    <w:unhideWhenUsed/>
    <w:qFormat/>
    <w:uiPriority w:val="1"/>
  </w:style>
  <w:style w:type="table" w:default="1" w:styleId="9">
    <w:name w:val="Normal Table"/>
    <w:unhideWhenUsed/>
    <w:qFormat/>
    <w:uiPriority w:val="99"/>
    <w:tblPr>
      <w:tblCellMar>
        <w:top w:w="0" w:type="dxa"/>
        <w:left w:w="108" w:type="dxa"/>
        <w:bottom w:w="0" w:type="dxa"/>
        <w:right w:w="108" w:type="dxa"/>
      </w:tblCellMar>
    </w:tblPr>
  </w:style>
  <w:style w:type="paragraph" w:styleId="2">
    <w:name w:val="annotation text"/>
    <w:basedOn w:val="1"/>
    <w:link w:val="17"/>
    <w:qFormat/>
    <w:uiPriority w:val="0"/>
  </w:style>
  <w:style w:type="paragraph" w:styleId="3">
    <w:name w:val="Body Text"/>
    <w:basedOn w:val="1"/>
    <w:next w:val="1"/>
    <w:qFormat/>
    <w:uiPriority w:val="0"/>
    <w:rPr>
      <w:b/>
      <w:bCs/>
      <w:sz w:val="32"/>
    </w:rPr>
  </w:style>
  <w:style w:type="paragraph" w:styleId="4">
    <w:name w:val="Block Text"/>
    <w:basedOn w:val="1"/>
    <w:qFormat/>
    <w:uiPriority w:val="0"/>
    <w:pPr>
      <w:spacing w:line="460" w:lineRule="exact"/>
      <w:ind w:left="-171" w:leftChars="-171" w:right="-159" w:rightChars="-159" w:firstLine="450"/>
    </w:pPr>
    <w:rPr>
      <w:rFonts w:ascii="仿宋_GB2312" w:hAnsi="仿宋_GB2312" w:cs="仿宋_GB2312"/>
      <w:sz w:val="30"/>
      <w:szCs w:val="30"/>
    </w:rPr>
  </w:style>
  <w:style w:type="paragraph" w:styleId="5">
    <w:name w:val="footer"/>
    <w:basedOn w:val="1"/>
    <w:qFormat/>
    <w:uiPriority w:val="0"/>
    <w:pPr>
      <w:tabs>
        <w:tab w:val="center" w:pos="4153"/>
        <w:tab w:val="right" w:pos="8306"/>
      </w:tabs>
      <w:snapToGrid w:val="0"/>
    </w:pPr>
    <w:rPr>
      <w:sz w:val="18"/>
    </w:rPr>
  </w:style>
  <w:style w:type="paragraph" w:styleId="6">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jc w:val="both"/>
    </w:pPr>
    <w:rPr>
      <w:sz w:val="18"/>
    </w:rPr>
  </w:style>
  <w:style w:type="paragraph" w:styleId="7">
    <w:name w:val="Normal (Web)"/>
    <w:basedOn w:val="1"/>
    <w:qFormat/>
    <w:uiPriority w:val="0"/>
    <w:rPr>
      <w:rFonts w:cs="Times New Roman"/>
    </w:rPr>
  </w:style>
  <w:style w:type="paragraph" w:styleId="8">
    <w:name w:val="annotation subject"/>
    <w:basedOn w:val="2"/>
    <w:next w:val="2"/>
    <w:link w:val="18"/>
    <w:qFormat/>
    <w:uiPriority w:val="0"/>
    <w:rPr>
      <w:b/>
      <w:bCs/>
    </w:rPr>
  </w:style>
  <w:style w:type="character" w:styleId="11">
    <w:name w:val="annotation reference"/>
    <w:basedOn w:val="10"/>
    <w:qFormat/>
    <w:uiPriority w:val="0"/>
    <w:rPr>
      <w:sz w:val="21"/>
      <w:szCs w:val="21"/>
    </w:rPr>
  </w:style>
  <w:style w:type="character" w:customStyle="1" w:styleId="12">
    <w:name w:val="font11"/>
    <w:basedOn w:val="10"/>
    <w:qFormat/>
    <w:uiPriority w:val="0"/>
    <w:rPr>
      <w:rFonts w:hint="eastAsia" w:ascii="宋体" w:hAnsi="宋体" w:eastAsia="宋体" w:cs="宋体"/>
      <w:color w:val="000000"/>
      <w:sz w:val="40"/>
      <w:szCs w:val="40"/>
      <w:u w:val="none"/>
    </w:rPr>
  </w:style>
  <w:style w:type="character" w:customStyle="1" w:styleId="13">
    <w:name w:val="font41"/>
    <w:basedOn w:val="10"/>
    <w:qFormat/>
    <w:uiPriority w:val="0"/>
    <w:rPr>
      <w:rFonts w:hint="eastAsia" w:ascii="宋体" w:hAnsi="宋体" w:eastAsia="宋体" w:cs="宋体"/>
      <w:color w:val="000000"/>
      <w:sz w:val="28"/>
      <w:szCs w:val="28"/>
      <w:u w:val="none"/>
    </w:rPr>
  </w:style>
  <w:style w:type="paragraph" w:customStyle="1" w:styleId="14">
    <w:name w:val="修订1"/>
    <w:hidden/>
    <w:unhideWhenUsed/>
    <w:qFormat/>
    <w:uiPriority w:val="99"/>
    <w:rPr>
      <w:rFonts w:ascii="Calibri" w:hAnsi="Calibri" w:eastAsia="宋体" w:cs="Droid Sans"/>
      <w:sz w:val="24"/>
      <w:szCs w:val="24"/>
      <w:lang w:val="en-US" w:eastAsia="zh-CN" w:bidi="ar-SA"/>
    </w:rPr>
  </w:style>
  <w:style w:type="paragraph" w:customStyle="1" w:styleId="15">
    <w:name w:val="List Paragraph"/>
    <w:basedOn w:val="1"/>
    <w:unhideWhenUsed/>
    <w:qFormat/>
    <w:uiPriority w:val="99"/>
    <w:pPr>
      <w:ind w:firstLine="420" w:firstLineChars="200"/>
    </w:pPr>
  </w:style>
  <w:style w:type="paragraph" w:customStyle="1" w:styleId="16">
    <w:name w:val="Revision"/>
    <w:hidden/>
    <w:unhideWhenUsed/>
    <w:qFormat/>
    <w:uiPriority w:val="99"/>
    <w:rPr>
      <w:rFonts w:ascii="Calibri" w:hAnsi="Calibri" w:eastAsia="宋体" w:cs="Droid Sans"/>
      <w:sz w:val="24"/>
      <w:szCs w:val="24"/>
      <w:lang w:val="en-US" w:eastAsia="zh-CN" w:bidi="ar-SA"/>
    </w:rPr>
  </w:style>
  <w:style w:type="character" w:customStyle="1" w:styleId="17">
    <w:name w:val="批注文字 字符"/>
    <w:basedOn w:val="10"/>
    <w:link w:val="2"/>
    <w:qFormat/>
    <w:uiPriority w:val="0"/>
    <w:rPr>
      <w:rFonts w:ascii="Calibri" w:hAnsi="Calibri" w:cs="Droid Sans"/>
      <w:sz w:val="24"/>
      <w:szCs w:val="24"/>
    </w:rPr>
  </w:style>
  <w:style w:type="character" w:customStyle="1" w:styleId="18">
    <w:name w:val="批注主题 字符"/>
    <w:basedOn w:val="17"/>
    <w:link w:val="8"/>
    <w:qFormat/>
    <w:uiPriority w:val="0"/>
    <w:rPr>
      <w:rFonts w:ascii="Calibri" w:hAnsi="Calibri" w:cs="Droid Sans"/>
      <w:b/>
      <w:bCs/>
      <w:sz w:val="24"/>
      <w:szCs w:val="24"/>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2.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8C06C8BF-5D89-43A3-BFAE-ABAB22AD165F}">
  <ds:schemaRefs/>
</ds:datastoreItem>
</file>

<file path=docProps/app.xml><?xml version="1.0" encoding="utf-8"?>
<Properties xmlns="http://schemas.openxmlformats.org/officeDocument/2006/extended-properties" xmlns:vt="http://schemas.openxmlformats.org/officeDocument/2006/docPropsVTypes">
  <Template>Normal</Template>
  <Pages>13</Pages>
  <Words>5650</Words>
  <Characters>5723</Characters>
  <Lines>44</Lines>
  <Paragraphs>12</Paragraphs>
  <TotalTime>17</TotalTime>
  <ScaleCrop>false</ScaleCrop>
  <LinksUpToDate>false</LinksUpToDate>
  <CharactersWithSpaces>6090</CharactersWithSpaces>
  <Application>WPS Office_12.1.0.22529_F1E327BC-269C-435d-A152-05C5408002CA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2025-06-21T10:31:00Z</dcterms:created>
  <dc:creator>侯锴</dc:creator>
  <cp:lastModifiedBy>Mint1398171869</cp:lastModifiedBy>
  <cp:lastPrinted>2025-08-12T08:51:00Z</cp:lastPrinted>
  <dcterms:modified xsi:type="dcterms:W3CDTF">2025-09-25T07:58:44Z</dcterms:modified>
  <cp:revision>120</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2052-12.1.0.22529</vt:lpwstr>
  </property>
  <property fmtid="{D5CDD505-2E9C-101B-9397-08002B2CF9AE}" pid="3" name="ICV">
    <vt:lpwstr>1936553C68F94DE89ABFB3598443E242_13</vt:lpwstr>
  </property>
  <property fmtid="{D5CDD505-2E9C-101B-9397-08002B2CF9AE}" pid="4" name="KSOTemplateDocerSaveRecord">
    <vt:lpwstr>eyJoZGlkIjoiZDU3OTE0NWQ1ZDUxZmQxNDE3MTA5NjkxODZkZjkzYjkiLCJ1c2VySWQiOiI0MDA3MzA3MDMifQ==</vt:lpwstr>
  </property>
</Properties>
</file>