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3F7520">
      <w:pPr>
        <w:spacing w:line="800" w:lineRule="exact"/>
        <w:jc w:val="center"/>
        <w:rPr>
          <w:rFonts w:ascii="仿宋_GB2312"/>
          <w:color w:val="FF0000"/>
          <w:w w:val="54"/>
          <w:kern w:val="24"/>
        </w:rPr>
      </w:pPr>
    </w:p>
    <w:p w14:paraId="043E57EE">
      <w:pPr>
        <w:spacing w:line="800" w:lineRule="exact"/>
        <w:jc w:val="center"/>
        <w:rPr>
          <w:rFonts w:ascii="仿宋_GB2312"/>
          <w:color w:val="FF0000"/>
          <w:w w:val="54"/>
          <w:kern w:val="24"/>
        </w:rPr>
      </w:pPr>
    </w:p>
    <w:p w14:paraId="570DE320">
      <w:pPr>
        <w:ind w:right="515" w:rightChars="161" w:firstLine="332" w:firstLineChars="50"/>
        <w:jc w:val="center"/>
        <w:rPr>
          <w:rFonts w:ascii="方正小标宋简体" w:hAnsi="华文中宋" w:eastAsia="方正小标宋简体"/>
          <w:color w:val="FF0000"/>
          <w:spacing w:val="-29"/>
          <w:w w:val="66"/>
          <w:kern w:val="24"/>
          <w:sz w:val="90"/>
          <w:szCs w:val="90"/>
        </w:rPr>
      </w:pPr>
      <w:r>
        <w:rPr>
          <w:rFonts w:hint="eastAsia" w:ascii="方正小标宋简体" w:hAnsi="华文中宋" w:eastAsia="方正小标宋简体"/>
          <w:color w:val="FF0000"/>
          <w:spacing w:val="-28"/>
          <w:w w:val="80"/>
          <w:kern w:val="0"/>
          <w:sz w:val="90"/>
          <w:szCs w:val="90"/>
        </w:rPr>
        <w:t>北京市门头沟区知识产权局</w:t>
      </w:r>
    </w:p>
    <w:p w14:paraId="630EF649">
      <w:pPr>
        <w:spacing w:line="300" w:lineRule="exact"/>
        <w:jc w:val="center"/>
        <w:rPr>
          <w:rFonts w:ascii="仿宋_GB2312"/>
          <w:color w:val="FF0000"/>
          <w:w w:val="54"/>
          <w:kern w:val="24"/>
          <w:szCs w:val="32"/>
        </w:rPr>
      </w:pPr>
    </w:p>
    <w:p w14:paraId="6ED33B3D">
      <w:pPr>
        <w:spacing w:line="300" w:lineRule="exact"/>
        <w:jc w:val="center"/>
        <w:rPr>
          <w:rFonts w:ascii="仿宋_GB2312"/>
          <w:color w:val="FF0000"/>
          <w:w w:val="54"/>
          <w:kern w:val="24"/>
          <w:szCs w:val="32"/>
        </w:rPr>
      </w:pPr>
    </w:p>
    <w:p w14:paraId="566785FF">
      <w:pPr>
        <w:spacing w:line="540" w:lineRule="exact"/>
        <w:ind w:left="640" w:leftChars="200" w:right="640" w:rightChars="200"/>
        <w:jc w:val="center"/>
      </w:pPr>
      <w:r>
        <w:rPr>
          <w:rFonts w:hint="eastAsia" w:ascii="仿宋_GB2312"/>
        </w:rPr>
        <w:t>京门知产文</w:t>
      </w:r>
      <w:r>
        <w:rPr>
          <w:rFonts w:hint="eastAsia" w:ascii="仿宋_GB2312" w:hAnsi="宋体"/>
        </w:rPr>
        <w:t>〔2024〕</w:t>
      </w:r>
      <w:r>
        <w:rPr>
          <w:rFonts w:hint="eastAsia" w:ascii="仿宋_GB2312" w:hAnsi="宋体"/>
          <w:lang w:val="en-US" w:eastAsia="zh-CN"/>
        </w:rPr>
        <w:t>13</w:t>
      </w:r>
      <w:r>
        <w:rPr>
          <w:rFonts w:hint="eastAsia" w:ascii="仿宋_GB2312"/>
        </w:rPr>
        <w:t>号</w:t>
      </w:r>
      <w:bookmarkStart w:id="15" w:name="_GoBack"/>
      <w:bookmarkEnd w:id="15"/>
    </w:p>
    <w:p w14:paraId="32258938">
      <w:pPr>
        <w:spacing w:line="380" w:lineRule="exact"/>
        <w:jc w:val="center"/>
        <w:rPr>
          <w:rFonts w:ascii="方正小标宋简体" w:eastAsia="方正小标宋简体"/>
          <w:sz w:val="44"/>
        </w:rPr>
      </w:pPr>
      <w:r>
        <w:rPr>
          <w:rFonts w:ascii="方正小标宋简体" w:eastAsia="方正小标宋简体"/>
          <w:sz w:val="44"/>
        </w:rPr>
        <mc:AlternateContent>
          <mc:Choice Requires="wps">
            <w:drawing>
              <wp:anchor distT="0" distB="0" distL="114300" distR="114300" simplePos="0" relativeHeight="251660288" behindDoc="0" locked="0" layoutInCell="0" allowOverlap="1">
                <wp:simplePos x="0" y="0"/>
                <wp:positionH relativeFrom="margin">
                  <wp:posOffset>114300</wp:posOffset>
                </wp:positionH>
                <wp:positionV relativeFrom="paragraph">
                  <wp:posOffset>68580</wp:posOffset>
                </wp:positionV>
                <wp:extent cx="5506720" cy="14605"/>
                <wp:effectExtent l="0" t="0" r="0" b="0"/>
                <wp:wrapTopAndBottom/>
                <wp:docPr id="1" name="直线 2"/>
                <wp:cNvGraphicFramePr/>
                <a:graphic xmlns:a="http://schemas.openxmlformats.org/drawingml/2006/main">
                  <a:graphicData uri="http://schemas.microsoft.com/office/word/2010/wordprocessingShape">
                    <wps:wsp>
                      <wps:cNvCnPr/>
                      <wps:spPr>
                        <a:xfrm flipV="1">
                          <a:off x="0" y="0"/>
                          <a:ext cx="5615940" cy="14605"/>
                        </a:xfrm>
                        <a:prstGeom prst="line">
                          <a:avLst/>
                        </a:prstGeom>
                        <a:ln w="19050" cap="flat" cmpd="sng">
                          <a:solidFill>
                            <a:srgbClr val="FF0000"/>
                          </a:solidFill>
                          <a:prstDash val="solid"/>
                          <a:headEnd type="none" w="med" len="med"/>
                          <a:tailEnd type="none" w="med" len="med"/>
                        </a:ln>
                        <a:effectLst/>
                      </wps:spPr>
                      <wps:bodyPr upright="1"/>
                    </wps:wsp>
                  </a:graphicData>
                </a:graphic>
              </wp:anchor>
            </w:drawing>
          </mc:Choice>
          <mc:Fallback>
            <w:pict>
              <v:line id="直线 2" o:spid="_x0000_s1026" o:spt="20" style="position:absolute;left:0pt;flip:y;margin-left:9pt;margin-top:5.4pt;height:1.15pt;width:433.6pt;mso-position-horizontal-relative:margin;mso-wrap-distance-bottom:0pt;mso-wrap-distance-top:0pt;z-index:251660288;mso-width-relative:page;mso-height-relative:page;" filled="f" stroked="t" coordsize="21600,21600" o:allowincell="f" o:gfxdata="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lTDnDdYAAAAIAQAADwAAAAAAAAABACAAAAAiAAAAZHJzL2Rvd25yZXYueG1sUEsB&#10;AhQAFAAAAAgAh07iQHv85fj3AQAA+AMAAA4AAAAAAAAAAQAgAAAAJQEAAGRycy9lMm9Eb2MueG1s&#10;UEsFBgAAAAAGAAYAWQEAAI4FAAAAAA==&#10;">
                <v:fill on="f" focussize="0,0"/>
                <v:stroke weight="1.5pt" color="#FF0000" joinstyle="round"/>
                <v:imagedata o:title=""/>
                <o:lock v:ext="edit" aspectratio="f"/>
                <w10:wrap type="topAndBottom"/>
              </v:line>
            </w:pict>
          </mc:Fallback>
        </mc:AlternateContent>
      </w:r>
      <w:r>
        <w:rPr>
          <w:rFonts w:ascii="方正小标宋简体" w:eastAsia="方正小标宋简体"/>
          <w:sz w:val="44"/>
        </w:rPr>
        <mc:AlternateContent>
          <mc:Choice Requires="wps">
            <w:drawing>
              <wp:anchor distT="0" distB="0" distL="114300" distR="114300" simplePos="0" relativeHeight="251661312" behindDoc="0" locked="0" layoutInCell="0" allowOverlap="1">
                <wp:simplePos x="0" y="0"/>
                <wp:positionH relativeFrom="margin">
                  <wp:posOffset>114300</wp:posOffset>
                </wp:positionH>
                <wp:positionV relativeFrom="paragraph">
                  <wp:posOffset>82550</wp:posOffset>
                </wp:positionV>
                <wp:extent cx="0" cy="0"/>
                <wp:effectExtent l="0" t="0" r="0" b="0"/>
                <wp:wrapTopAndBottom/>
                <wp:docPr id="2" name="直线 5"/>
                <wp:cNvGraphicFramePr/>
                <a:graphic xmlns:a="http://schemas.openxmlformats.org/drawingml/2006/main">
                  <a:graphicData uri="http://schemas.microsoft.com/office/word/2010/wordprocessingShape">
                    <wps:wsp>
                      <wps:cNvCnPr/>
                      <wps:spPr>
                        <a:xfrm flipV="1">
                          <a:off x="0" y="0"/>
                          <a:ext cx="5615940" cy="14605"/>
                        </a:xfrm>
                        <a:prstGeom prst="line">
                          <a:avLst/>
                        </a:prstGeom>
                        <a:ln w="19050" cap="flat" cmpd="sng">
                          <a:solidFill>
                            <a:srgbClr val="FF0000"/>
                          </a:solidFill>
                          <a:prstDash val="solid"/>
                          <a:headEnd type="none" w="med" len="med"/>
                          <a:tailEnd type="none" w="med" len="med"/>
                        </a:ln>
                        <a:effectLst/>
                      </wps:spPr>
                      <wps:bodyPr upright="1"/>
                    </wps:wsp>
                  </a:graphicData>
                </a:graphic>
              </wp:anchor>
            </w:drawing>
          </mc:Choice>
          <mc:Fallback>
            <w:pict>
              <v:line id="直线 5" o:spid="_x0000_s1026" o:spt="20" style="position:absolute;left:0pt;flip:y;margin-left:9pt;margin-top:6.5pt;height:0pt;width:0pt;mso-position-horizontal-relative:margin;mso-wrap-distance-bottom:0pt;mso-wrap-distance-top:0pt;z-index:251661312;mso-width-relative:page;mso-height-relative:page;" filled="f" stroked="t" coordsize="21600,21600" o:allowincell="f" o:gfxdata="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VjanrRAAAABwEAAA8AAAAAAAAAAQAgAAAAIgAAAGRycy9kb3ducmV2LnhtbFBLAQIU&#10;ABQAAAAIAIdO4kBt/gXZ+gEAAPgDAAAOAAAAAAAAAAEAIAAAACABAABkcnMvZTJvRG9jLnhtbFBL&#10;BQYAAAAABgAGAFkBAACMBQAAAAA=&#10;">
                <v:fill on="f" focussize="0,0"/>
                <v:stroke weight="1.5pt" color="#FF0000" joinstyle="round"/>
                <v:imagedata o:title=""/>
                <o:lock v:ext="edit" aspectratio="f"/>
                <w10:wrap type="topAndBottom"/>
              </v:line>
            </w:pict>
          </mc:Fallback>
        </mc:AlternateContent>
      </w:r>
    </w:p>
    <w:p w14:paraId="20AB65B3">
      <w:pPr>
        <w:keepNext w:val="0"/>
        <w:keepLines w:val="0"/>
        <w:pageBreakBefore w:val="0"/>
        <w:widowControl w:val="0"/>
        <w:kinsoku/>
        <w:wordWrap/>
        <w:overflowPunct/>
        <w:topLinePunct w:val="0"/>
        <w:autoSpaceDE/>
        <w:autoSpaceDN/>
        <w:bidi w:val="0"/>
        <w:adjustRightInd/>
        <w:snapToGrid/>
        <w:spacing w:before="247" w:beforeLines="50" w:line="560" w:lineRule="exact"/>
        <w:ind w:left="0" w:leftChars="0" w:right="0" w:rightChars="0" w:firstLine="0" w:firstLineChars="0"/>
        <w:jc w:val="center"/>
        <w:textAlignment w:val="baseline"/>
        <w:outlineLvl w:val="9"/>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rPr>
        <w:t>北京市门头沟区知识产权局关于印发</w:t>
      </w:r>
    </w:p>
    <w:p w14:paraId="15A573D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baseline"/>
        <w:outlineLvl w:val="9"/>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rPr>
        <w:t>《门头沟区知识产权发展促进与</w:t>
      </w:r>
    </w:p>
    <w:p w14:paraId="1DF321A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baseline"/>
        <w:outlineLvl w:val="9"/>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rPr>
        <w:t>品牌提升支持办法》的通知</w:t>
      </w:r>
    </w:p>
    <w:p w14:paraId="29829F6B">
      <w:pPr>
        <w:keepNext w:val="0"/>
        <w:keepLines w:val="0"/>
        <w:pageBreakBefore w:val="0"/>
        <w:kinsoku/>
        <w:wordWrap/>
        <w:overflowPunct/>
        <w:topLinePunct w:val="0"/>
        <w:autoSpaceDE/>
        <w:autoSpaceDN/>
        <w:bidi w:val="0"/>
        <w:adjustRightInd/>
        <w:snapToGrid/>
        <w:spacing w:line="560" w:lineRule="exact"/>
        <w:ind w:left="0" w:leftChars="0" w:right="0" w:rightChars="0"/>
        <w:textAlignment w:val="baseline"/>
        <w:rPr>
          <w:rFonts w:ascii="仿宋_GB2312"/>
          <w:color w:val="000000"/>
          <w:szCs w:val="32"/>
        </w:rPr>
      </w:pPr>
    </w:p>
    <w:p w14:paraId="3444347E">
      <w:pPr>
        <w:keepNext w:val="0"/>
        <w:keepLines w:val="0"/>
        <w:pageBreakBefore w:val="0"/>
        <w:widowControl/>
        <w:kinsoku/>
        <w:wordWrap/>
        <w:overflowPunct/>
        <w:topLinePunct w:val="0"/>
        <w:autoSpaceDE/>
        <w:autoSpaceDN/>
        <w:bidi w:val="0"/>
        <w:adjustRightInd/>
        <w:snapToGrid/>
        <w:spacing w:line="560" w:lineRule="exact"/>
        <w:ind w:left="0" w:leftChars="0" w:right="0" w:rightChars="0"/>
        <w:jc w:val="both"/>
        <w:textAlignment w:val="auto"/>
        <w:rPr>
          <w:rFonts w:hint="eastAsia" w:ascii="仿宋_GB2312" w:hAnsi="仿宋_GB2312" w:eastAsia="仿宋_GB2312" w:cs="仿宋_GB2312"/>
          <w:color w:val="000000"/>
          <w:szCs w:val="32"/>
        </w:rPr>
      </w:pPr>
      <w:r>
        <w:rPr>
          <w:rFonts w:hint="eastAsia" w:ascii="仿宋_GB2312" w:hAnsi="仿宋_GB2312" w:eastAsia="仿宋_GB2312" w:cs="仿宋_GB2312"/>
          <w:color w:val="000000"/>
          <w:szCs w:val="32"/>
          <w:lang w:eastAsia="zh-CN"/>
        </w:rPr>
        <w:t>各有关单位</w:t>
      </w:r>
      <w:r>
        <w:rPr>
          <w:rFonts w:hint="eastAsia" w:ascii="仿宋_GB2312" w:hAnsi="仿宋_GB2312" w:eastAsia="仿宋_GB2312" w:cs="仿宋_GB2312"/>
          <w:color w:val="000000"/>
          <w:szCs w:val="32"/>
        </w:rPr>
        <w:t>：</w:t>
      </w:r>
    </w:p>
    <w:p w14:paraId="066D255E">
      <w:pPr>
        <w:pStyle w:val="10"/>
        <w:keepNext w:val="0"/>
        <w:keepLines w:val="0"/>
        <w:pageBreakBefore w:val="0"/>
        <w:widowControl/>
        <w:kinsoku/>
        <w:wordWrap/>
        <w:overflowPunct/>
        <w:topLinePunct w:val="0"/>
        <w:autoSpaceDE/>
        <w:autoSpaceDN/>
        <w:bidi w:val="0"/>
        <w:adjustRightInd/>
        <w:snapToGrid/>
        <w:spacing w:before="157" w:beforeLines="50" w:after="157" w:afterLines="5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《门头沟区知识产权发展促进与品牌提升支持办法》已经区委、区政府同意，现予以印发，请各单位结合实际认真贯彻执行。</w:t>
      </w:r>
    </w:p>
    <w:p w14:paraId="5B06E5D8">
      <w:pPr>
        <w:keepNext w:val="0"/>
        <w:keepLines w:val="0"/>
        <w:pageBreakBefore w:val="0"/>
        <w:kinsoku/>
        <w:wordWrap/>
        <w:overflowPunct/>
        <w:topLinePunct w:val="0"/>
        <w:autoSpaceDE/>
        <w:autoSpaceDN/>
        <w:bidi w:val="0"/>
        <w:adjustRightInd/>
        <w:snapToGrid/>
        <w:spacing w:line="560" w:lineRule="exact"/>
        <w:ind w:left="2253" w:leftChars="304" w:right="0" w:rightChars="0" w:hanging="1280" w:hangingChars="400"/>
        <w:textAlignment w:val="auto"/>
        <w:outlineLvl w:val="9"/>
        <w:rPr>
          <w:rFonts w:hint="eastAsia" w:ascii="仿宋_GB2312" w:hAnsi="仿宋_GB2312" w:eastAsia="仿宋_GB2312" w:cs="仿宋_GB2312"/>
          <w:kern w:val="2"/>
          <w:sz w:val="31"/>
          <w:szCs w:val="31"/>
          <w:lang w:val="en-US" w:eastAsia="zh-CN" w:bidi="ar-SA"/>
        </w:rPr>
      </w:pPr>
      <w:r>
        <w:rPr>
          <w:rFonts w:hint="eastAsia" w:ascii="仿宋_GB2312" w:hAnsi="仿宋_GB2312" w:eastAsia="仿宋_GB2312" w:cs="仿宋_GB2312"/>
          <w:kern w:val="2"/>
          <w:sz w:val="32"/>
          <w:szCs w:val="32"/>
          <w:lang w:val="en-US" w:eastAsia="zh-CN" w:bidi="ar-SA"/>
        </w:rPr>
        <w:t>特此通知。</w:t>
      </w:r>
    </w:p>
    <w:p w14:paraId="0D88BA03">
      <w:pPr>
        <w:pStyle w:val="2"/>
        <w:keepNext w:val="0"/>
        <w:keepLines w:val="0"/>
        <w:pageBreakBefore w:val="0"/>
        <w:kinsoku/>
        <w:wordWrap/>
        <w:overflowPunct/>
        <w:topLinePunct w:val="0"/>
        <w:autoSpaceDE/>
        <w:autoSpaceDN/>
        <w:bidi w:val="0"/>
        <w:adjustRightInd/>
        <w:snapToGrid/>
        <w:spacing w:line="560" w:lineRule="exact"/>
        <w:ind w:right="0" w:rightChars="0"/>
        <w:rPr>
          <w:rFonts w:hint="eastAsia" w:ascii="仿宋_GB2312" w:hAnsi="仿宋_GB2312" w:eastAsia="仿宋_GB2312" w:cs="仿宋_GB2312"/>
        </w:rPr>
      </w:pPr>
    </w:p>
    <w:p w14:paraId="54B2B881">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baseline"/>
        <w:rPr>
          <w:rFonts w:hint="eastAsia" w:ascii="仿宋_GB2312" w:hAnsi="仿宋_GB2312" w:eastAsia="仿宋_GB2312" w:cs="仿宋_GB2312"/>
          <w:szCs w:val="32"/>
        </w:rPr>
      </w:pPr>
    </w:p>
    <w:p w14:paraId="6AC90449">
      <w:pPr>
        <w:keepNext w:val="0"/>
        <w:keepLines w:val="0"/>
        <w:pageBreakBefore w:val="0"/>
        <w:kinsoku/>
        <w:wordWrap/>
        <w:overflowPunct/>
        <w:topLinePunct w:val="0"/>
        <w:autoSpaceDE/>
        <w:autoSpaceDN/>
        <w:bidi w:val="0"/>
        <w:adjustRightInd/>
        <w:snapToGrid/>
        <w:spacing w:line="560" w:lineRule="exact"/>
        <w:ind w:right="0" w:rightChars="0" w:firstLine="646"/>
        <w:textAlignment w:val="baseline"/>
        <w:rPr>
          <w:rFonts w:hint="eastAsia" w:ascii="仿宋_GB2312" w:hAnsi="仿宋_GB2312" w:eastAsia="仿宋_GB2312" w:cs="仿宋_GB2312"/>
          <w:color w:val="000000"/>
          <w:szCs w:val="32"/>
        </w:rPr>
      </w:pPr>
      <w:r>
        <w:rPr>
          <w:rFonts w:hint="eastAsia" w:ascii="仿宋_GB2312" w:hAnsi="仿宋_GB2312" w:eastAsia="仿宋_GB2312" w:cs="仿宋_GB2312"/>
          <w:color w:val="000000"/>
          <w:szCs w:val="32"/>
        </w:rPr>
        <w:t xml:space="preserve">                     北京市门头沟区知识产权局</w:t>
      </w:r>
    </w:p>
    <w:p w14:paraId="3DA7B476">
      <w:pPr>
        <w:keepNext w:val="0"/>
        <w:keepLines w:val="0"/>
        <w:pageBreakBefore w:val="0"/>
        <w:kinsoku/>
        <w:wordWrap/>
        <w:overflowPunct/>
        <w:topLinePunct w:val="0"/>
        <w:autoSpaceDE/>
        <w:autoSpaceDN/>
        <w:bidi w:val="0"/>
        <w:adjustRightInd/>
        <w:snapToGrid/>
        <w:spacing w:line="560" w:lineRule="exact"/>
        <w:ind w:right="0" w:rightChars="0" w:firstLine="640" w:firstLineChars="200"/>
        <w:rPr>
          <w:rFonts w:hint="eastAsia" w:ascii="仿宋_GB2312" w:hAnsi="仿宋_GB2312" w:eastAsia="仿宋_GB2312" w:cs="仿宋_GB2312"/>
          <w:color w:val="000000"/>
          <w:szCs w:val="32"/>
        </w:rPr>
      </w:pPr>
      <w:r>
        <w:rPr>
          <w:rFonts w:hint="eastAsia" w:ascii="仿宋_GB2312" w:hAnsi="仿宋_GB2312" w:eastAsia="仿宋_GB2312" w:cs="仿宋_GB2312"/>
          <w:color w:val="000000"/>
          <w:szCs w:val="32"/>
        </w:rPr>
        <w:t xml:space="preserve">                         2024年</w:t>
      </w:r>
      <w:r>
        <w:rPr>
          <w:rFonts w:hint="eastAsia" w:ascii="仿宋_GB2312" w:hAnsi="仿宋_GB2312" w:eastAsia="仿宋_GB2312" w:cs="仿宋_GB2312"/>
          <w:color w:val="000000"/>
          <w:szCs w:val="32"/>
          <w:lang w:val="en-US" w:eastAsia="zh-CN"/>
        </w:rPr>
        <w:t>12</w:t>
      </w:r>
      <w:r>
        <w:rPr>
          <w:rFonts w:hint="eastAsia" w:ascii="仿宋_GB2312" w:hAnsi="仿宋_GB2312" w:eastAsia="仿宋_GB2312" w:cs="仿宋_GB2312"/>
          <w:color w:val="000000"/>
          <w:szCs w:val="32"/>
        </w:rPr>
        <w:t>月</w:t>
      </w:r>
      <w:r>
        <w:rPr>
          <w:rFonts w:hint="eastAsia" w:ascii="仿宋_GB2312" w:hAnsi="仿宋_GB2312" w:eastAsia="仿宋_GB2312" w:cs="仿宋_GB2312"/>
          <w:color w:val="000000"/>
          <w:szCs w:val="32"/>
          <w:lang w:val="en-US" w:eastAsia="zh-CN"/>
        </w:rPr>
        <w:t>18</w:t>
      </w:r>
      <w:r>
        <w:rPr>
          <w:rFonts w:hint="eastAsia" w:ascii="仿宋_GB2312" w:hAnsi="仿宋_GB2312" w:eastAsia="仿宋_GB2312" w:cs="仿宋_GB2312"/>
          <w:color w:val="000000"/>
          <w:szCs w:val="32"/>
        </w:rPr>
        <w:t>日</w:t>
      </w:r>
    </w:p>
    <w:p w14:paraId="3D030805">
      <w:pPr>
        <w:keepNext w:val="0"/>
        <w:keepLines w:val="0"/>
        <w:pageBreakBefore w:val="0"/>
        <w:kinsoku/>
        <w:wordWrap/>
        <w:overflowPunct/>
        <w:topLinePunct w:val="0"/>
        <w:autoSpaceDE/>
        <w:autoSpaceDN/>
        <w:bidi w:val="0"/>
        <w:adjustRightInd/>
        <w:snapToGrid/>
        <w:spacing w:line="560" w:lineRule="exact"/>
        <w:ind w:right="0" w:rightChars="0"/>
        <w:jc w:val="both"/>
        <w:rPr>
          <w:rFonts w:hint="eastAsia" w:ascii="仿宋_GB2312" w:hAnsi="仿宋_GB2312" w:eastAsia="仿宋_GB2312" w:cs="仿宋_GB2312"/>
          <w:szCs w:val="32"/>
        </w:rPr>
      </w:pPr>
      <w:r>
        <w:rPr>
          <w:rFonts w:hint="eastAsia" w:ascii="仿宋_GB2312" w:hAnsi="仿宋_GB2312" w:eastAsia="仿宋_GB2312" w:cs="仿宋_GB2312"/>
          <w:szCs w:val="32"/>
        </w:rPr>
        <w:br w:type="page"/>
      </w:r>
    </w:p>
    <w:p w14:paraId="3240F38D">
      <w:pPr>
        <w:spacing w:line="578" w:lineRule="exact"/>
        <w:jc w:val="center"/>
        <w:rPr>
          <w:rFonts w:hint="eastAsia" w:eastAsia="方正小标宋简体"/>
          <w:bCs/>
          <w:sz w:val="44"/>
          <w:szCs w:val="44"/>
        </w:rPr>
      </w:pPr>
      <w:r>
        <w:rPr>
          <w:rFonts w:hint="eastAsia" w:eastAsia="方正小标宋简体"/>
          <w:bCs/>
          <w:sz w:val="44"/>
          <w:szCs w:val="44"/>
        </w:rPr>
        <w:t>门头沟区知识产权发展促进</w:t>
      </w:r>
    </w:p>
    <w:p w14:paraId="741D7557">
      <w:pPr>
        <w:spacing w:line="578" w:lineRule="exact"/>
        <w:jc w:val="center"/>
        <w:rPr>
          <w:rFonts w:hint="eastAsia" w:eastAsia="方正小标宋简体"/>
          <w:bCs/>
          <w:sz w:val="44"/>
          <w:szCs w:val="44"/>
        </w:rPr>
      </w:pPr>
      <w:r>
        <w:rPr>
          <w:rFonts w:hint="eastAsia" w:eastAsia="方正小标宋简体"/>
          <w:bCs/>
          <w:sz w:val="44"/>
          <w:szCs w:val="44"/>
        </w:rPr>
        <w:t>与品牌提升支持办法</w:t>
      </w:r>
    </w:p>
    <w:p w14:paraId="52815EE0">
      <w:pPr>
        <w:pStyle w:val="3"/>
        <w:keepNext/>
        <w:keepLines/>
        <w:pageBreakBefore w:val="0"/>
        <w:widowControl w:val="0"/>
        <w:kinsoku/>
        <w:wordWrap/>
        <w:overflowPunct/>
        <w:topLinePunct w:val="0"/>
        <w:autoSpaceDE/>
        <w:autoSpaceDN/>
        <w:bidi w:val="0"/>
        <w:adjustRightInd/>
        <w:snapToGrid/>
        <w:spacing w:before="493" w:beforeLines="100" w:after="493" w:afterLines="100" w:line="440" w:lineRule="exact"/>
        <w:ind w:left="0" w:leftChars="0" w:right="0" w:rightChars="0" w:firstLine="0" w:firstLineChars="0"/>
        <w:jc w:val="center"/>
        <w:textAlignment w:val="auto"/>
        <w:outlineLvl w:val="1"/>
        <w:rPr>
          <w:rFonts w:hint="eastAsia"/>
          <w:b w:val="0"/>
          <w:bCs/>
          <w:szCs w:val="32"/>
        </w:rPr>
      </w:pPr>
      <w:r>
        <w:rPr>
          <w:rFonts w:hint="eastAsia"/>
          <w:b w:val="0"/>
          <w:bCs/>
          <w:szCs w:val="32"/>
        </w:rPr>
        <w:t>目  录</w:t>
      </w:r>
    </w:p>
    <w:p w14:paraId="1D378EE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方正仿宋_GB2312" w:hAnsi="方正仿宋_GB2312" w:eastAsia="方正仿宋_GB2312" w:cs="方正仿宋_GB2312"/>
          <w:kern w:val="0"/>
          <w:szCs w:val="32"/>
        </w:rPr>
      </w:pPr>
      <w:r>
        <w:rPr>
          <w:rFonts w:hint="eastAsia" w:ascii="方正仿宋_GB2312" w:hAnsi="方正仿宋_GB2312" w:eastAsia="方正仿宋_GB2312" w:cs="方正仿宋_GB2312"/>
          <w:kern w:val="0"/>
          <w:szCs w:val="32"/>
        </w:rPr>
        <w:t xml:space="preserve">第一章  总 </w:t>
      </w:r>
      <w:r>
        <w:rPr>
          <w:rFonts w:hint="eastAsia" w:ascii="方正仿宋_GB2312" w:hAnsi="方正仿宋_GB2312" w:eastAsia="方正仿宋_GB2312" w:cs="方正仿宋_GB2312"/>
          <w:kern w:val="0"/>
          <w:szCs w:val="32"/>
          <w:lang w:val="en-US" w:eastAsia="zh-CN"/>
        </w:rPr>
        <w:t xml:space="preserve"> </w:t>
      </w:r>
      <w:r>
        <w:rPr>
          <w:rFonts w:hint="eastAsia" w:ascii="方正仿宋_GB2312" w:hAnsi="方正仿宋_GB2312" w:eastAsia="方正仿宋_GB2312" w:cs="方正仿宋_GB2312"/>
          <w:kern w:val="0"/>
          <w:szCs w:val="32"/>
        </w:rPr>
        <w:t xml:space="preserve">  则</w:t>
      </w:r>
    </w:p>
    <w:p w14:paraId="375A06B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方正仿宋_GB2312" w:hAnsi="方正仿宋_GB2312" w:eastAsia="方正仿宋_GB2312" w:cs="方正仿宋_GB2312"/>
          <w:kern w:val="0"/>
          <w:szCs w:val="32"/>
        </w:rPr>
      </w:pPr>
      <w:r>
        <w:rPr>
          <w:rFonts w:hint="eastAsia" w:ascii="方正仿宋_GB2312" w:hAnsi="方正仿宋_GB2312" w:eastAsia="方正仿宋_GB2312" w:cs="方正仿宋_GB2312"/>
          <w:kern w:val="0"/>
          <w:szCs w:val="32"/>
        </w:rPr>
        <w:t>第二章  适用对象</w:t>
      </w:r>
    </w:p>
    <w:p w14:paraId="30FEDD12">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方正仿宋_GB2312" w:hAnsi="方正仿宋_GB2312" w:eastAsia="方正仿宋_GB2312" w:cs="方正仿宋_GB2312"/>
          <w:kern w:val="0"/>
          <w:szCs w:val="32"/>
        </w:rPr>
      </w:pPr>
      <w:r>
        <w:rPr>
          <w:rFonts w:hint="eastAsia" w:ascii="方正仿宋_GB2312" w:hAnsi="方正仿宋_GB2312" w:eastAsia="方正仿宋_GB2312" w:cs="方正仿宋_GB2312"/>
          <w:kern w:val="0"/>
          <w:szCs w:val="32"/>
        </w:rPr>
        <w:t xml:space="preserve">    第三章  适用范围及标准</w:t>
      </w:r>
    </w:p>
    <w:p w14:paraId="290791E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方正仿宋_GB2312" w:hAnsi="方正仿宋_GB2312" w:eastAsia="方正仿宋_GB2312" w:cs="方正仿宋_GB2312"/>
          <w:kern w:val="0"/>
          <w:szCs w:val="32"/>
        </w:rPr>
      </w:pPr>
      <w:r>
        <w:rPr>
          <w:rFonts w:hint="eastAsia" w:ascii="方正仿宋_GB2312" w:hAnsi="方正仿宋_GB2312" w:eastAsia="方正仿宋_GB2312" w:cs="方正仿宋_GB2312"/>
          <w:kern w:val="0"/>
          <w:szCs w:val="32"/>
        </w:rPr>
        <w:t xml:space="preserve">    第四章  申报审核</w:t>
      </w:r>
    </w:p>
    <w:p w14:paraId="338A298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方正仿宋_GB2312" w:hAnsi="方正仿宋_GB2312" w:eastAsia="方正仿宋_GB2312" w:cs="方正仿宋_GB2312"/>
          <w:kern w:val="0"/>
          <w:szCs w:val="32"/>
        </w:rPr>
      </w:pPr>
      <w:r>
        <w:rPr>
          <w:rFonts w:hint="eastAsia" w:ascii="方正仿宋_GB2312" w:hAnsi="方正仿宋_GB2312" w:eastAsia="方正仿宋_GB2312" w:cs="方正仿宋_GB2312"/>
          <w:kern w:val="0"/>
          <w:szCs w:val="32"/>
        </w:rPr>
        <w:t xml:space="preserve">    第五章  监督管理</w:t>
      </w:r>
    </w:p>
    <w:p w14:paraId="7A68CE2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方正仿宋_GB2312" w:hAnsi="方正仿宋_GB2312" w:eastAsia="方正仿宋_GB2312" w:cs="方正仿宋_GB2312"/>
          <w:kern w:val="0"/>
          <w:szCs w:val="32"/>
        </w:rPr>
      </w:pPr>
      <w:r>
        <w:rPr>
          <w:rFonts w:hint="eastAsia" w:ascii="方正仿宋_GB2312" w:hAnsi="方正仿宋_GB2312" w:eastAsia="方正仿宋_GB2312" w:cs="方正仿宋_GB2312"/>
          <w:kern w:val="0"/>
          <w:szCs w:val="32"/>
        </w:rPr>
        <w:t xml:space="preserve">    第六章  附 </w:t>
      </w:r>
      <w:r>
        <w:rPr>
          <w:rFonts w:hint="eastAsia" w:ascii="方正仿宋_GB2312" w:hAnsi="方正仿宋_GB2312" w:eastAsia="方正仿宋_GB2312" w:cs="方正仿宋_GB2312"/>
          <w:kern w:val="0"/>
          <w:szCs w:val="32"/>
          <w:lang w:val="en-US" w:eastAsia="zh-CN"/>
        </w:rPr>
        <w:t xml:space="preserve"> </w:t>
      </w:r>
      <w:r>
        <w:rPr>
          <w:rFonts w:hint="eastAsia" w:ascii="方正仿宋_GB2312" w:hAnsi="方正仿宋_GB2312" w:eastAsia="方正仿宋_GB2312" w:cs="方正仿宋_GB2312"/>
          <w:kern w:val="0"/>
          <w:szCs w:val="32"/>
        </w:rPr>
        <w:t xml:space="preserve">  则</w:t>
      </w:r>
    </w:p>
    <w:p w14:paraId="1C846FD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方正仿宋_GB2312" w:hAnsi="方正仿宋_GB2312" w:eastAsia="方正仿宋_GB2312" w:cs="方正仿宋_GB2312"/>
          <w:kern w:val="0"/>
          <w:szCs w:val="32"/>
        </w:rPr>
      </w:pPr>
      <w:r>
        <w:rPr>
          <w:rFonts w:hint="eastAsia" w:ascii="方正仿宋_GB2312" w:hAnsi="方正仿宋_GB2312" w:eastAsia="方正仿宋_GB2312" w:cs="方正仿宋_GB2312"/>
          <w:kern w:val="0"/>
          <w:szCs w:val="32"/>
        </w:rPr>
        <w:t xml:space="preserve"> </w:t>
      </w:r>
    </w:p>
    <w:p w14:paraId="1A6C7AD1">
      <w:pPr>
        <w:pStyle w:val="3"/>
        <w:keepNext/>
        <w:keepLines/>
        <w:pageBreakBefore w:val="0"/>
        <w:widowControl w:val="0"/>
        <w:kinsoku/>
        <w:wordWrap/>
        <w:overflowPunct/>
        <w:topLinePunct w:val="0"/>
        <w:autoSpaceDE/>
        <w:autoSpaceDN/>
        <w:bidi w:val="0"/>
        <w:adjustRightInd/>
        <w:snapToGrid/>
        <w:spacing w:after="493" w:afterLines="100" w:line="560" w:lineRule="exact"/>
        <w:ind w:left="0" w:leftChars="0" w:right="0" w:rightChars="0" w:firstLine="0" w:firstLineChars="0"/>
        <w:jc w:val="center"/>
        <w:textAlignment w:val="auto"/>
        <w:outlineLvl w:val="1"/>
        <w:rPr>
          <w:rFonts w:ascii="黑体" w:hAnsi="黑体" w:cs="黑体"/>
          <w:b w:val="0"/>
          <w:bCs/>
          <w:szCs w:val="32"/>
        </w:rPr>
      </w:pPr>
      <w:r>
        <w:rPr>
          <w:rFonts w:hint="eastAsia"/>
          <w:b w:val="0"/>
          <w:bCs/>
          <w:szCs w:val="32"/>
        </w:rPr>
        <w:t>第一章  总 则</w:t>
      </w:r>
    </w:p>
    <w:p w14:paraId="4B676199">
      <w:pPr>
        <w:pStyle w:val="12"/>
        <w:keepNext w:val="0"/>
        <w:keepLines w:val="0"/>
        <w:pageBreakBefore w:val="0"/>
        <w:widowControl/>
        <w:kinsoku/>
        <w:wordWrap/>
        <w:overflowPunct/>
        <w:topLinePunct w:val="0"/>
        <w:autoSpaceDE/>
        <w:autoSpaceDN/>
        <w:bidi w:val="0"/>
        <w:adjustRightInd/>
        <w:snapToGrid/>
        <w:spacing w:before="0" w:beforeAutospacing="0" w:after="247" w:afterLines="5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条  为全面贯彻落实中共中央、国务院印发的《知识产权强国建设纲要（2021—2035年）》和北京市委、市政府印发的《北京市知识产权强国示范城市建设纲要（2021-2035年）》等文件精神，根据《北京市门头沟区国民经济和社会发展第十四个五年规划和二〇三五年远景目标纲要》《门头沟区知识产权发展促进与品牌提升行动方案（2023-2025年）》，结合本区实际，制定本办法。</w:t>
      </w:r>
    </w:p>
    <w:p w14:paraId="6A034E61">
      <w:pPr>
        <w:pStyle w:val="12"/>
        <w:keepNext w:val="0"/>
        <w:keepLines w:val="0"/>
        <w:pageBreakBefore w:val="0"/>
        <w:widowControl/>
        <w:kinsoku/>
        <w:wordWrap/>
        <w:overflowPunct/>
        <w:topLinePunct w:val="0"/>
        <w:autoSpaceDE/>
        <w:autoSpaceDN/>
        <w:bidi w:val="0"/>
        <w:adjustRightInd/>
        <w:snapToGrid/>
        <w:spacing w:before="0" w:beforeAutospacing="0" w:after="247" w:afterLines="5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bookmarkStart w:id="0" w:name="_Hlk170309076"/>
      <w:r>
        <w:rPr>
          <w:rFonts w:hint="eastAsia" w:ascii="仿宋_GB2312" w:hAnsi="仿宋_GB2312" w:eastAsia="仿宋_GB2312" w:cs="仿宋_GB2312"/>
          <w:color w:val="auto"/>
          <w:sz w:val="32"/>
          <w:szCs w:val="32"/>
        </w:rPr>
        <w:t>第二条  本办法适用于在本行政区域内对知识产权创造、运用、保护、管理、服务等活动给予资金支持，旨在支持创新主体开展知识产权活动，打造一批高质量知识产权，加快培育新一批知识产权示范和</w:t>
      </w:r>
      <w:r>
        <w:rPr>
          <w:rFonts w:hint="eastAsia" w:ascii="仿宋_GB2312" w:hAnsi="仿宋_GB2312" w:cs="仿宋_GB2312"/>
          <w:color w:val="auto"/>
          <w:sz w:val="32"/>
          <w:szCs w:val="32"/>
          <w:lang w:eastAsia="zh-CN"/>
        </w:rPr>
        <w:t>优势</w:t>
      </w:r>
      <w:r>
        <w:rPr>
          <w:rFonts w:hint="eastAsia" w:ascii="仿宋_GB2312" w:hAnsi="仿宋_GB2312" w:eastAsia="仿宋_GB2312" w:cs="仿宋_GB2312"/>
          <w:color w:val="auto"/>
          <w:sz w:val="32"/>
          <w:szCs w:val="32"/>
        </w:rPr>
        <w:t>企业，充分发挥知识产权对门头沟区经济社会高质量发展的支撑作用，不断营造激励创新、保护创新的良好环境。</w:t>
      </w:r>
    </w:p>
    <w:bookmarkEnd w:id="0"/>
    <w:p w14:paraId="4122430D">
      <w:pPr>
        <w:pStyle w:val="12"/>
        <w:pageBreakBefore w:val="0"/>
        <w:numPr>
          <w:ilvl w:val="0"/>
          <w:numId w:val="1"/>
        </w:numPr>
        <w:kinsoku/>
        <w:wordWrap/>
        <w:overflowPunct/>
        <w:topLinePunct w:val="0"/>
        <w:autoSpaceDE/>
        <w:autoSpaceDN/>
        <w:bidi w:val="0"/>
        <w:adjustRightInd/>
        <w:snapToGrid/>
        <w:spacing w:before="0" w:beforeAutospacing="0" w:afterLines="5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本办法采用依申请奖补结合的方式进行支持，严格审核、科学评估、合理安排、注重实效。</w:t>
      </w:r>
    </w:p>
    <w:p w14:paraId="74C645ED">
      <w:pPr>
        <w:pStyle w:val="12"/>
        <w:pageBreakBefore w:val="0"/>
        <w:kinsoku/>
        <w:wordWrap/>
        <w:overflowPunct/>
        <w:topLinePunct w:val="0"/>
        <w:autoSpaceDE/>
        <w:autoSpaceDN/>
        <w:bidi w:val="0"/>
        <w:adjustRightInd/>
        <w:snapToGrid/>
        <w:spacing w:before="0" w:beforeAutospacing="0" w:afterLines="5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四条  为保障本办法顺利实施，门头沟区建立知识产权资助奖励部门联席会议制度（以下简称“联席会议”），主管知识产权工作的副区长为召集人，区市场监管局（区知识产权局）、区司法局、区发改委、区财政局、区科委、区经信局、区文旅局、区商务局、中关村门头沟园管委会等单位负责人为成员。</w:t>
      </w:r>
    </w:p>
    <w:p w14:paraId="1E2F4A5B">
      <w:pPr>
        <w:pStyle w:val="3"/>
        <w:keepNext/>
        <w:keepLines/>
        <w:pageBreakBefore w:val="0"/>
        <w:widowControl w:val="0"/>
        <w:kinsoku/>
        <w:wordWrap/>
        <w:overflowPunct/>
        <w:topLinePunct w:val="0"/>
        <w:autoSpaceDE/>
        <w:autoSpaceDN/>
        <w:bidi w:val="0"/>
        <w:adjustRightInd/>
        <w:snapToGrid/>
        <w:spacing w:before="493" w:beforeLines="100" w:after="493" w:afterLines="100" w:line="560" w:lineRule="exact"/>
        <w:ind w:left="0" w:leftChars="0" w:right="0" w:rightChars="0" w:firstLine="0" w:firstLineChars="0"/>
        <w:jc w:val="center"/>
        <w:textAlignment w:val="auto"/>
        <w:outlineLvl w:val="1"/>
        <w:rPr>
          <w:b w:val="0"/>
          <w:bCs/>
          <w:szCs w:val="32"/>
        </w:rPr>
      </w:pPr>
      <w:r>
        <w:rPr>
          <w:rFonts w:hint="eastAsia"/>
          <w:b w:val="0"/>
          <w:bCs/>
          <w:szCs w:val="32"/>
        </w:rPr>
        <w:t>第二章  适用对象</w:t>
      </w:r>
    </w:p>
    <w:p w14:paraId="5845DB7D">
      <w:pPr>
        <w:pStyle w:val="12"/>
        <w:pageBreakBefore w:val="0"/>
        <w:kinsoku/>
        <w:wordWrap/>
        <w:overflowPunct/>
        <w:topLinePunct w:val="0"/>
        <w:autoSpaceDE/>
        <w:autoSpaceDN/>
        <w:bidi w:val="0"/>
        <w:adjustRightInd/>
        <w:snapToGrid/>
        <w:spacing w:beforeAutospacing="0" w:afterLines="5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第五条</w:t>
      </w:r>
      <w:r>
        <w:rPr>
          <w:rFonts w:hint="eastAsia" w:ascii="仿宋_GB2312" w:hAnsi="仿宋_GB2312" w:eastAsia="仿宋_GB2312" w:cs="仿宋_GB2312"/>
          <w:b/>
          <w:color w:val="auto"/>
          <w:sz w:val="32"/>
          <w:szCs w:val="32"/>
        </w:rPr>
        <w:t xml:space="preserve">  </w:t>
      </w:r>
      <w:r>
        <w:rPr>
          <w:rFonts w:hint="eastAsia" w:ascii="仿宋_GB2312" w:hAnsi="仿宋_GB2312" w:eastAsia="仿宋_GB2312" w:cs="仿宋_GB2312"/>
          <w:color w:val="auto"/>
          <w:sz w:val="32"/>
          <w:szCs w:val="32"/>
        </w:rPr>
        <w:t>本办法所指支持的知识产权类型仅限于专利、商标、地理标志方面。</w:t>
      </w:r>
    </w:p>
    <w:p w14:paraId="176A86BC">
      <w:pPr>
        <w:pStyle w:val="12"/>
        <w:pageBreakBefore w:val="0"/>
        <w:kinsoku/>
        <w:wordWrap/>
        <w:overflowPunct/>
        <w:topLinePunct w:val="0"/>
        <w:autoSpaceDE/>
        <w:autoSpaceDN/>
        <w:bidi w:val="0"/>
        <w:adjustRightInd/>
        <w:snapToGrid/>
        <w:spacing w:beforeAutospacing="0" w:afterLines="5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第六条</w:t>
      </w:r>
      <w:r>
        <w:rPr>
          <w:rFonts w:hint="eastAsia" w:ascii="仿宋_GB2312" w:hAnsi="仿宋_GB2312" w:eastAsia="仿宋_GB2312" w:cs="仿宋_GB2312"/>
          <w:b/>
          <w:color w:val="auto"/>
          <w:sz w:val="32"/>
          <w:szCs w:val="32"/>
        </w:rPr>
        <w:t xml:space="preserve">  </w:t>
      </w:r>
      <w:bookmarkStart w:id="1" w:name="_Hlk170309391"/>
      <w:r>
        <w:rPr>
          <w:rFonts w:hint="eastAsia" w:ascii="仿宋_GB2312" w:hAnsi="仿宋_GB2312" w:eastAsia="仿宋_GB2312" w:cs="仿宋_GB2312"/>
          <w:color w:val="auto"/>
          <w:sz w:val="32"/>
          <w:szCs w:val="32"/>
        </w:rPr>
        <w:t>申请本办法支持的主体应符合下列条件之一：</w:t>
      </w:r>
    </w:p>
    <w:p w14:paraId="0909AFDC">
      <w:pPr>
        <w:pStyle w:val="12"/>
        <w:pageBreakBefore w:val="0"/>
        <w:kinsoku/>
        <w:wordWrap/>
        <w:overflowPunct/>
        <w:topLinePunct w:val="0"/>
        <w:autoSpaceDE/>
        <w:autoSpaceDN/>
        <w:bidi w:val="0"/>
        <w:adjustRightInd/>
        <w:snapToGrid/>
        <w:spacing w:beforeAutospacing="0" w:afterLines="50" w:afterAutospacing="0"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（一）在门头沟区依法登记注册、信用良好、经营状态正常的企业、高等学校、科研机构、医疗卫生机构和社会组织等主体；</w:t>
      </w:r>
    </w:p>
    <w:p w14:paraId="4595FAC8">
      <w:pPr>
        <w:pStyle w:val="12"/>
        <w:pageBreakBefore w:val="0"/>
        <w:kinsoku/>
        <w:wordWrap/>
        <w:overflowPunct/>
        <w:topLinePunct w:val="0"/>
        <w:autoSpaceDE/>
        <w:autoSpaceDN/>
        <w:bidi w:val="0"/>
        <w:adjustRightInd/>
        <w:snapToGrid/>
        <w:spacing w:beforeAutospacing="0" w:afterLines="50" w:afterAutospacing="0"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（二）为门头沟区知识产权事业发展做出突出贡献的有关单位。</w:t>
      </w:r>
    </w:p>
    <w:bookmarkEnd w:id="1"/>
    <w:p w14:paraId="038D0582">
      <w:pPr>
        <w:pStyle w:val="12"/>
        <w:pageBreakBefore w:val="0"/>
        <w:kinsoku/>
        <w:wordWrap/>
        <w:overflowPunct/>
        <w:topLinePunct w:val="0"/>
        <w:autoSpaceDE/>
        <w:autoSpaceDN/>
        <w:bidi w:val="0"/>
        <w:adjustRightInd/>
        <w:snapToGrid/>
        <w:spacing w:beforeAutospacing="0" w:afterLines="5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涉及多个权利人的专利、商标、地理标志，以第一专利权人、共有商标代表人、地理标志第一申请人为申报人；不区分权利人顺序的国外专利，以专利申请时的第一申请人为申报人。</w:t>
      </w:r>
    </w:p>
    <w:p w14:paraId="45293164">
      <w:pPr>
        <w:pStyle w:val="12"/>
        <w:pageBreakBefore w:val="0"/>
        <w:kinsoku/>
        <w:wordWrap/>
        <w:overflowPunct/>
        <w:topLinePunct w:val="0"/>
        <w:autoSpaceDE/>
        <w:autoSpaceDN/>
        <w:bidi w:val="0"/>
        <w:adjustRightInd/>
        <w:snapToGrid/>
        <w:spacing w:beforeAutospacing="0" w:afterLines="5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同一申报单位同一内容的项目已获得门头沟区财政资金支持的，不予重复支持。</w:t>
      </w:r>
    </w:p>
    <w:p w14:paraId="7E4D016F">
      <w:pPr>
        <w:pStyle w:val="3"/>
        <w:keepNext/>
        <w:keepLines/>
        <w:pageBreakBefore w:val="0"/>
        <w:widowControl w:val="0"/>
        <w:kinsoku/>
        <w:wordWrap/>
        <w:overflowPunct/>
        <w:topLinePunct w:val="0"/>
        <w:autoSpaceDE/>
        <w:autoSpaceDN/>
        <w:bidi w:val="0"/>
        <w:adjustRightInd/>
        <w:snapToGrid/>
        <w:spacing w:before="493" w:beforeLines="100" w:after="493" w:afterLines="100" w:line="560" w:lineRule="exact"/>
        <w:ind w:left="0" w:leftChars="0" w:right="0" w:rightChars="0" w:firstLine="0" w:firstLineChars="0"/>
        <w:jc w:val="center"/>
        <w:textAlignment w:val="auto"/>
        <w:outlineLvl w:val="1"/>
        <w:rPr>
          <w:b w:val="0"/>
          <w:bCs/>
          <w:szCs w:val="32"/>
        </w:rPr>
      </w:pPr>
      <w:r>
        <w:rPr>
          <w:rFonts w:hint="eastAsia"/>
          <w:b w:val="0"/>
          <w:bCs/>
          <w:szCs w:val="32"/>
        </w:rPr>
        <w:t>第三章  适用范围及标准</w:t>
      </w:r>
    </w:p>
    <w:p w14:paraId="5D94D6DD">
      <w:pPr>
        <w:pStyle w:val="12"/>
        <w:pageBreakBefore w:val="0"/>
        <w:kinsoku/>
        <w:wordWrap/>
        <w:overflowPunct/>
        <w:topLinePunct w:val="0"/>
        <w:autoSpaceDE/>
        <w:autoSpaceDN/>
        <w:bidi w:val="0"/>
        <w:adjustRightInd/>
        <w:snapToGrid/>
        <w:spacing w:before="0" w:beforeAutospacing="0" w:afterLines="5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第七条  打造高质量知识产权</w:t>
      </w:r>
    </w:p>
    <w:p w14:paraId="52726231">
      <w:pPr>
        <w:pStyle w:val="12"/>
        <w:pageBreakBefore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对所拥有商标首次获得“中国驰名商标”称号的主体给予一次性不超过10万元的支持。</w:t>
      </w:r>
    </w:p>
    <w:p w14:paraId="2F4A9F65">
      <w:pPr>
        <w:pStyle w:val="12"/>
        <w:pageBreakBefore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对成功获批国家地理标志的主体，给予不超过5万元的支持。</w:t>
      </w:r>
    </w:p>
    <w:p w14:paraId="0E55B354">
      <w:pPr>
        <w:pStyle w:val="12"/>
        <w:pageBreakBefore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对首次在国外获得注册商标专有权的主体，给予不超过1万元的支持。</w:t>
      </w:r>
    </w:p>
    <w:p w14:paraId="53B2AA87">
      <w:pPr>
        <w:pStyle w:val="12"/>
        <w:pageBreakBefore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支持各类主体积极参与专利奖评选，对获得中国专利奖的专利权人，每项金奖给予不超过30万元的支持，每项银奖给予不超过10万元的支持，每项优秀奖给予不超过5万元的支持；对获得中国外观设计奖的专利权人，每项金奖给予不超过10万元的支持，每项银奖给予不超过5万元的支持，每项优秀奖给予不超过3万元的支持；对获得北京市发明专利奖的专利权人，每项特等奖给予不超过10万元的支持，每项一等奖给予不超过5万元的支持，每项二等奖给予不超过3万元的支持，每项三等奖给予不超过1万元的支持。同一主体同一专利当年同时获得上述两个以上奖项的，按照“就高支持”的原则；已获得本办法支持的获奖专利后续获得支持金额更高的奖项按照“支持一次 补足差额”的原则执行本政策。</w:t>
      </w:r>
    </w:p>
    <w:p w14:paraId="5B3964EA">
      <w:pPr>
        <w:pStyle w:val="12"/>
        <w:pageBreakBefore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支持各类主体通过专利合作条约（PCT）、巴黎公约等途径向国外申请发明专利，对通过上述途径向国外申请发明专利且该专利获得授权的专利权人，每家每年给予不超过10万元的支持；对于人工智能、心血管领域医疗器械、超高清数字视听等重点产业企业，每家每年给予不超过20万元的支持。</w:t>
      </w:r>
    </w:p>
    <w:p w14:paraId="0508F8D9">
      <w:pPr>
        <w:pStyle w:val="12"/>
        <w:keepNext w:val="0"/>
        <w:keepLines w:val="0"/>
        <w:pageBreakBefore w:val="0"/>
        <w:widowControl/>
        <w:numPr>
          <w:ilvl w:val="0"/>
          <w:numId w:val="2"/>
        </w:numPr>
        <w:kinsoku/>
        <w:wordWrap/>
        <w:overflowPunct/>
        <w:topLinePunct w:val="0"/>
        <w:autoSpaceDE/>
        <w:autoSpaceDN/>
        <w:bidi w:val="0"/>
        <w:adjustRightInd/>
        <w:snapToGrid/>
        <w:spacing w:before="0" w:beforeAutospacing="0" w:after="247" w:afterLines="5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鼓励为人工智能、心血管领域医疗器械、超高清数字视听等重点产业各类主体提供知识产权工作指导，重点宣讲专利预审、专利优先审查等方面内容，提升门头沟区重点产业各类主体的专利审批质效；鼓励人工智能、心血管领域医疗器械、超高清数字视听等重点产业所属企业联合专业知识产权服务机构建立高价值专利培育中心。</w:t>
      </w:r>
    </w:p>
    <w:p w14:paraId="38B15EC4">
      <w:pPr>
        <w:pStyle w:val="12"/>
        <w:pageBreakBefore w:val="0"/>
        <w:kinsoku/>
        <w:wordWrap/>
        <w:overflowPunct/>
        <w:topLinePunct w:val="0"/>
        <w:autoSpaceDE/>
        <w:autoSpaceDN/>
        <w:bidi w:val="0"/>
        <w:adjustRightInd/>
        <w:snapToGrid/>
        <w:spacing w:before="0" w:beforeAutospacing="0" w:afterLines="5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bookmarkStart w:id="2" w:name="_Hlk170312652"/>
      <w:r>
        <w:rPr>
          <w:rFonts w:hint="eastAsia" w:ascii="仿宋_GB2312" w:hAnsi="仿宋_GB2312" w:eastAsia="仿宋_GB2312" w:cs="仿宋_GB2312"/>
          <w:color w:val="auto"/>
          <w:sz w:val="32"/>
          <w:szCs w:val="32"/>
        </w:rPr>
        <w:t>第八条  提高知识产权运用能力</w:t>
      </w:r>
    </w:p>
    <w:bookmarkEnd w:id="2"/>
    <w:p w14:paraId="5387015C">
      <w:pPr>
        <w:pStyle w:val="12"/>
        <w:pageBreakBefore w:val="0"/>
        <w:numPr>
          <w:ilvl w:val="0"/>
          <w:numId w:val="3"/>
        </w:numP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bookmarkStart w:id="3" w:name="_Hlk170312660"/>
      <w:r>
        <w:rPr>
          <w:rFonts w:hint="eastAsia" w:ascii="仿宋_GB2312" w:hAnsi="仿宋_GB2312" w:eastAsia="仿宋_GB2312" w:cs="仿宋_GB2312"/>
          <w:color w:val="auto"/>
          <w:sz w:val="32"/>
          <w:szCs w:val="32"/>
        </w:rPr>
        <w:t>支持知识产权质押融资，为有融资需求的企业提供“一对一”知识产权质押融资指导，鼓励企业以知识产权无形资产获得融资支持，相关支持政策按照《门头沟区知识产权质押融资发展促进管理办法》执行。</w:t>
      </w:r>
    </w:p>
    <w:p w14:paraId="2DB63F7C">
      <w:pPr>
        <w:pStyle w:val="12"/>
        <w:pageBreakBefore w:val="0"/>
        <w:numPr>
          <w:ilvl w:val="0"/>
          <w:numId w:val="3"/>
        </w:numP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支持探索知识产权证券化，对区域内通过知识产权证券化产品获得融资，且</w:t>
      </w:r>
      <w:bookmarkEnd w:id="3"/>
      <w:bookmarkStart w:id="4" w:name="_Hlk170312666"/>
      <w:r>
        <w:rPr>
          <w:rFonts w:hint="eastAsia" w:ascii="仿宋_GB2312" w:hAnsi="仿宋_GB2312" w:eastAsia="仿宋_GB2312" w:cs="仿宋_GB2312"/>
          <w:color w:val="auto"/>
          <w:sz w:val="32"/>
          <w:szCs w:val="32"/>
        </w:rPr>
        <w:t>未就知识产权融资履约发生违约行为的主体</w:t>
      </w:r>
      <w:bookmarkEnd w:id="4"/>
      <w:r>
        <w:rPr>
          <w:rFonts w:hint="eastAsia" w:ascii="仿宋_GB2312" w:hAnsi="仿宋_GB2312" w:eastAsia="仿宋_GB2312" w:cs="仿宋_GB2312"/>
          <w:color w:val="auto"/>
          <w:sz w:val="32"/>
          <w:szCs w:val="32"/>
        </w:rPr>
        <w:t>，</w:t>
      </w:r>
      <w:bookmarkStart w:id="5" w:name="_Hlk170312680"/>
      <w:r>
        <w:rPr>
          <w:rFonts w:hint="eastAsia" w:ascii="仿宋_GB2312" w:hAnsi="仿宋_GB2312" w:eastAsia="仿宋_GB2312" w:cs="仿宋_GB2312"/>
          <w:color w:val="auto"/>
          <w:sz w:val="32"/>
          <w:szCs w:val="32"/>
        </w:rPr>
        <w:t>在还款完毕后，</w:t>
      </w:r>
      <w:bookmarkEnd w:id="5"/>
      <w:bookmarkStart w:id="6" w:name="_Hlk170312686"/>
      <w:r>
        <w:rPr>
          <w:rFonts w:hint="eastAsia" w:ascii="仿宋_GB2312" w:hAnsi="仿宋_GB2312" w:eastAsia="仿宋_GB2312" w:cs="仿宋_GB2312"/>
          <w:color w:val="auto"/>
          <w:sz w:val="32"/>
          <w:szCs w:val="32"/>
        </w:rPr>
        <w:t>每家企业每年享受最高不超过30万元的支持，且累计受支持次数不超过3次。</w:t>
      </w:r>
      <w:bookmarkEnd w:id="6"/>
    </w:p>
    <w:p w14:paraId="1ADBF988">
      <w:pPr>
        <w:pStyle w:val="12"/>
        <w:pageBreakBefore w:val="0"/>
        <w:numPr>
          <w:ilvl w:val="0"/>
          <w:numId w:val="3"/>
        </w:numP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鼓励知识产权联盟建设。鼓励建立重点产业知识产权联盟并在北京市知识产权局备案，支持知识产权联盟与专业知识产权服务机构联合开展产业专利信息分析、高质量专利培育、专利挖掘</w:t>
      </w:r>
      <w:r>
        <w:rPr>
          <w:rFonts w:hint="eastAsia" w:ascii="仿宋_GB2312" w:hAnsi="仿宋_GB2312" w:cs="仿宋_GB2312"/>
          <w:color w:val="auto"/>
          <w:sz w:val="32"/>
          <w:szCs w:val="32"/>
          <w:lang w:eastAsia="zh-CN"/>
        </w:rPr>
        <w:t>与</w:t>
      </w:r>
      <w:r>
        <w:rPr>
          <w:rFonts w:hint="eastAsia" w:ascii="仿宋_GB2312" w:hAnsi="仿宋_GB2312" w:eastAsia="仿宋_GB2312" w:cs="仿宋_GB2312"/>
          <w:color w:val="auto"/>
          <w:sz w:val="32"/>
          <w:szCs w:val="32"/>
        </w:rPr>
        <w:t>布局、专利池共建、知识产权运营等工作。</w:t>
      </w:r>
    </w:p>
    <w:p w14:paraId="504F91BE">
      <w:pPr>
        <w:pStyle w:val="12"/>
        <w:pageBreakBefore w:val="0"/>
        <w:kinsoku/>
        <w:wordWrap/>
        <w:overflowPunct/>
        <w:topLinePunct w:val="0"/>
        <w:autoSpaceDE/>
        <w:autoSpaceDN/>
        <w:bidi w:val="0"/>
        <w:adjustRightInd/>
        <w:snapToGrid/>
        <w:spacing w:beforeLines="5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第九条</w:t>
      </w:r>
      <w:bookmarkStart w:id="7" w:name="_Hlk170312771"/>
      <w:r>
        <w:rPr>
          <w:rFonts w:hint="eastAsia" w:ascii="仿宋_GB2312" w:hAnsi="仿宋_GB2312" w:eastAsia="仿宋_GB2312" w:cs="仿宋_GB2312"/>
          <w:color w:val="auto"/>
          <w:sz w:val="32"/>
          <w:szCs w:val="32"/>
        </w:rPr>
        <w:t>  加强知识产权保护</w:t>
      </w:r>
    </w:p>
    <w:p w14:paraId="7538C004">
      <w:pPr>
        <w:pStyle w:val="12"/>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bookmarkStart w:id="8" w:name="_Hlk170312820"/>
      <w:r>
        <w:rPr>
          <w:rFonts w:hint="eastAsia" w:ascii="仿宋_GB2312" w:hAnsi="仿宋_GB2312" w:eastAsia="仿宋_GB2312" w:cs="仿宋_GB2312"/>
          <w:color w:val="auto"/>
          <w:sz w:val="32"/>
          <w:szCs w:val="32"/>
        </w:rPr>
        <w:t>（一）支持企业海外维权。对通过法律手段在境外维护合法拥有的知识产权取得胜诉的以及仲裁成功的主体，给予每年不超过10万元的支持。</w:t>
      </w:r>
    </w:p>
    <w:bookmarkEnd w:id="8"/>
    <w:p w14:paraId="14DEFE83">
      <w:pPr>
        <w:pStyle w:val="12"/>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bookmarkStart w:id="9" w:name="_Hlk170312857"/>
      <w:r>
        <w:rPr>
          <w:rFonts w:hint="eastAsia" w:ascii="仿宋_GB2312" w:hAnsi="仿宋_GB2312" w:eastAsia="仿宋_GB2312" w:cs="仿宋_GB2312"/>
          <w:color w:val="auto"/>
          <w:sz w:val="32"/>
          <w:szCs w:val="32"/>
        </w:rPr>
        <w:t>二）支持人工智能、心血管领域医疗器械、超高清数字视听产业及文旅产业所属企业维护自身知识产权合法权益，对通过法律手段在国内维权胜诉的主体，给予每年不超过10万元</w:t>
      </w:r>
      <w:bookmarkEnd w:id="9"/>
      <w:r>
        <w:rPr>
          <w:rFonts w:hint="eastAsia" w:ascii="仿宋_GB2312" w:hAnsi="仿宋_GB2312" w:eastAsia="仿宋_GB2312" w:cs="仿宋_GB2312"/>
          <w:color w:val="auto"/>
          <w:sz w:val="32"/>
          <w:szCs w:val="32"/>
        </w:rPr>
        <w:t>的支持。</w:t>
      </w:r>
    </w:p>
    <w:bookmarkEnd w:id="7"/>
    <w:p w14:paraId="47C2DA03">
      <w:pPr>
        <w:pStyle w:val="12"/>
        <w:pageBreakBefore w:val="0"/>
        <w:kinsoku/>
        <w:wordWrap/>
        <w:overflowPunct/>
        <w:topLinePunct w:val="0"/>
        <w:autoSpaceDE/>
        <w:autoSpaceDN/>
        <w:bidi w:val="0"/>
        <w:adjustRightInd/>
        <w:snapToGrid/>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第十条</w:t>
      </w:r>
      <w:bookmarkStart w:id="10" w:name="_Hlk170310470"/>
      <w:r>
        <w:rPr>
          <w:rFonts w:hint="eastAsia" w:ascii="仿宋_GB2312" w:hAnsi="仿宋_GB2312" w:eastAsia="仿宋_GB2312" w:cs="仿宋_GB2312"/>
          <w:color w:val="auto"/>
          <w:sz w:val="32"/>
          <w:szCs w:val="32"/>
        </w:rPr>
        <w:t>  提升知识产权管理水平</w:t>
      </w:r>
    </w:p>
    <w:p w14:paraId="5E0632F1">
      <w:pPr>
        <w:pStyle w:val="12"/>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（一）对首次获得国家知识产权示范企业、优势企业称号的主体，分别给予不超过8万元、5万元的支持；对首次获得北京市知识产权优势单位的主体，给予不超过3万元的支持。</w:t>
      </w:r>
    </w:p>
    <w:p w14:paraId="45C9A63F">
      <w:pPr>
        <w:pStyle w:val="12"/>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（二）对获得“国家级知识产权保护规范化市场”认定的主体，给予不超过5万元的支持。</w:t>
      </w:r>
    </w:p>
    <w:bookmarkEnd w:id="10"/>
    <w:p w14:paraId="0D3DA91B">
      <w:pPr>
        <w:pStyle w:val="12"/>
        <w:pageBreakBefore w:val="0"/>
        <w:kinsoku/>
        <w:wordWrap/>
        <w:overflowPunct/>
        <w:topLinePunct w:val="0"/>
        <w:autoSpaceDE/>
        <w:autoSpaceDN/>
        <w:bidi w:val="0"/>
        <w:adjustRightInd/>
        <w:snapToGrid/>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bookmarkStart w:id="11" w:name="_Hlk170310506"/>
      <w:r>
        <w:rPr>
          <w:rFonts w:hint="eastAsia" w:ascii="仿宋_GB2312" w:hAnsi="仿宋_GB2312" w:eastAsia="仿宋_GB2312" w:cs="仿宋_GB2312"/>
          <w:color w:val="auto"/>
          <w:sz w:val="32"/>
          <w:szCs w:val="32"/>
        </w:rPr>
        <w:t>第十一条  提高知识产权服务能力</w:t>
      </w:r>
    </w:p>
    <w:p w14:paraId="64A3B471">
      <w:pPr>
        <w:pStyle w:val="12"/>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鼓励知识产权服务机构为区内企业提供高价值专利培育、产业专利导航、知识产权质押融资、知识产权证券化、成立产业联盟等多样化服务，支持优质知识产权服务机构在本区设立总部。对本区知识产权事业做出突出贡献的服务机构，根据服务绩效，给予不超过30万元的支持，每年的支持名单和支持金额由联席会议确定。</w:t>
      </w:r>
    </w:p>
    <w:p w14:paraId="57B5185F">
      <w:pPr>
        <w:pStyle w:val="12"/>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bookmarkStart w:id="12" w:name="_Hlk170313035"/>
      <w:r>
        <w:rPr>
          <w:rFonts w:hint="eastAsia" w:ascii="仿宋_GB2312" w:hAnsi="仿宋_GB2312" w:eastAsia="仿宋_GB2312" w:cs="仿宋_GB2312"/>
          <w:color w:val="auto"/>
          <w:sz w:val="32"/>
          <w:szCs w:val="32"/>
        </w:rPr>
        <w:t>（二）对首次获得“北京市中小企业知识产权集聚发展示范区”认定，并完成年度考核的主体，给予一次性不超过10万元的支持</w:t>
      </w:r>
      <w:bookmarkEnd w:id="12"/>
      <w:bookmarkStart w:id="13" w:name="_Hlk170313041"/>
      <w:r>
        <w:rPr>
          <w:rFonts w:hint="eastAsia" w:ascii="仿宋_GB2312" w:hAnsi="仿宋_GB2312" w:eastAsia="仿宋_GB2312" w:cs="仿宋_GB2312"/>
          <w:color w:val="auto"/>
          <w:sz w:val="32"/>
          <w:szCs w:val="32"/>
        </w:rPr>
        <w:t>；对首次获批“国家知识产权局北京（中关村）审查员实践基地分基地（站点）”并开展了相应工作的主体，给予一次性不超过3万元支持。</w:t>
      </w:r>
      <w:bookmarkEnd w:id="13"/>
    </w:p>
    <w:p w14:paraId="4DAD1608">
      <w:pPr>
        <w:pStyle w:val="12"/>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（三）支持产业园区、孵化器、众创空间等单位建立知识产权工作站、商标品牌指导站、知识产权信息公共服务网点， 对获得北京市知识产权公共服务优秀工作站称号的主体，给予一次性不超过5万元的支持；对获得北京市知识产权公共服务工作站单项</w:t>
      </w:r>
      <w:r>
        <w:rPr>
          <w:rFonts w:hint="eastAsia" w:ascii="仿宋_GB2312" w:hAnsi="仿宋_GB2312" w:cs="仿宋_GB2312"/>
          <w:color w:val="auto"/>
          <w:sz w:val="32"/>
          <w:szCs w:val="32"/>
          <w:lang w:eastAsia="zh-CN"/>
        </w:rPr>
        <w:t>服务之星</w:t>
      </w:r>
      <w:r>
        <w:rPr>
          <w:rFonts w:hint="eastAsia" w:ascii="仿宋_GB2312" w:hAnsi="仿宋_GB2312" w:eastAsia="仿宋_GB2312" w:cs="仿宋_GB2312"/>
          <w:color w:val="auto"/>
          <w:sz w:val="32"/>
          <w:szCs w:val="32"/>
        </w:rPr>
        <w:t>、获评市级以上优秀服务案例以及增加知识产权类公共服务资质的主体，给予不超过2万元的支持，每个主体支持年限不超过三年。对首次获批“国家知识产权信息公共服务网点”、“北京市知识产权信息公共服务网点”并开展了相应工作的各类主体，分别给予一次性不超过5万元、2万元的支持。</w:t>
      </w:r>
    </w:p>
    <w:p w14:paraId="27AE62F6">
      <w:pPr>
        <w:pStyle w:val="12"/>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同一主体同一年度不可享受本条内多个支持事项。</w:t>
      </w:r>
    </w:p>
    <w:bookmarkEnd w:id="11"/>
    <w:p w14:paraId="4DC82708">
      <w:pPr>
        <w:pStyle w:val="12"/>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第十二条  推进高水平人才队伍建设</w:t>
      </w:r>
    </w:p>
    <w:p w14:paraId="32D59DFB">
      <w:pPr>
        <w:pStyle w:val="12"/>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对于在门头沟区工作且缴纳社保满一年、首次担任国家知识产权专家咨询委员会委员，或入选国家知识产权专家库、全国知识产权领军人才、百千万知识产权人才工程百名高层次人才培养人选以及取得知识产权高级职称的人才，给予该人才所在单位不超过2万元的支持。</w:t>
      </w:r>
    </w:p>
    <w:p w14:paraId="69022A66">
      <w:pPr>
        <w:pStyle w:val="12"/>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重点针对人工智能、心血管领域医疗器械、超高清数字视听产业所属企业的知识产权实务需求开展个性化知识产权培训课程，对企业研发项目负责人、企业知识产权工作者以及企业家进行重点培养，重点开展知识产权实务培训课程。</w:t>
      </w:r>
    </w:p>
    <w:p w14:paraId="0991D9C2">
      <w:pPr>
        <w:pStyle w:val="12"/>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（三）鼓励区域内各类人才参加国家专利代理师资格考试、经济师类（知识产权专业）职业资格考试。鼓励人工智能、心血管领域医疗器械、超高清数字视听产业所属企业引进和培养知识产权专业人才。</w:t>
      </w:r>
    </w:p>
    <w:p w14:paraId="245FC3D1">
      <w:pPr>
        <w:pStyle w:val="12"/>
        <w:pageBreakBefore w:val="0"/>
        <w:kinsoku/>
        <w:wordWrap/>
        <w:overflowPunct/>
        <w:topLinePunct w:val="0"/>
        <w:autoSpaceDE/>
        <w:autoSpaceDN/>
        <w:bidi w:val="0"/>
        <w:adjustRightInd/>
        <w:snapToGrid/>
        <w:spacing w:before="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第十三条  本办法规定的资金支持，同一主体每年度获得的总支持金额不超过30万元。</w:t>
      </w:r>
    </w:p>
    <w:p w14:paraId="7C46378D">
      <w:pPr>
        <w:pStyle w:val="3"/>
        <w:keepNext/>
        <w:keepLines/>
        <w:pageBreakBefore w:val="0"/>
        <w:widowControl w:val="0"/>
        <w:kinsoku/>
        <w:wordWrap/>
        <w:overflowPunct/>
        <w:topLinePunct w:val="0"/>
        <w:autoSpaceDE/>
        <w:autoSpaceDN/>
        <w:bidi w:val="0"/>
        <w:adjustRightInd/>
        <w:snapToGrid/>
        <w:spacing w:before="493" w:beforeLines="100" w:after="493" w:afterLines="100" w:line="560" w:lineRule="exact"/>
        <w:ind w:left="0" w:leftChars="0" w:right="0" w:rightChars="0" w:firstLine="0" w:firstLineChars="0"/>
        <w:jc w:val="center"/>
        <w:textAlignment w:val="auto"/>
        <w:outlineLvl w:val="1"/>
        <w:rPr>
          <w:b w:val="0"/>
          <w:bCs/>
          <w:szCs w:val="32"/>
        </w:rPr>
      </w:pPr>
      <w:r>
        <w:rPr>
          <w:rFonts w:hint="eastAsia"/>
          <w:b w:val="0"/>
          <w:bCs/>
          <w:szCs w:val="32"/>
        </w:rPr>
        <w:t>第四章  申报审核</w:t>
      </w:r>
    </w:p>
    <w:p w14:paraId="251A2CC2">
      <w:pPr>
        <w:pStyle w:val="12"/>
        <w:pageBreakBefore w:val="0"/>
        <w:kinsoku/>
        <w:wordWrap/>
        <w:overflowPunct/>
        <w:topLinePunct w:val="0"/>
        <w:autoSpaceDE/>
        <w:autoSpaceDN/>
        <w:bidi w:val="0"/>
        <w:adjustRightInd/>
        <w:snapToGrid/>
        <w:spacing w:beforeAutospacing="0" w:afterLines="50" w:afterAutospacing="0"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第十四条  区市场监管局（区知识产权局）每年制定并发布本办法实施的申报通知。</w:t>
      </w:r>
    </w:p>
    <w:p w14:paraId="003C71F8">
      <w:pPr>
        <w:pStyle w:val="12"/>
        <w:pageBreakBefore w:val="0"/>
        <w:kinsoku/>
        <w:wordWrap/>
        <w:overflowPunct/>
        <w:topLinePunct w:val="0"/>
        <w:autoSpaceDE/>
        <w:autoSpaceDN/>
        <w:bidi w:val="0"/>
        <w:adjustRightInd/>
        <w:snapToGrid/>
        <w:spacing w:beforeAutospacing="0" w:afterLines="50" w:afterAutospacing="0"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申报人应当依照本办法规定和申报通知要求及时申报，逾期不予受理。</w:t>
      </w:r>
    </w:p>
    <w:p w14:paraId="794F5210">
      <w:pPr>
        <w:pStyle w:val="12"/>
        <w:pageBreakBefore w:val="0"/>
        <w:numPr>
          <w:ilvl w:val="0"/>
          <w:numId w:val="4"/>
        </w:numPr>
        <w:kinsoku/>
        <w:wordWrap/>
        <w:overflowPunct/>
        <w:topLinePunct w:val="0"/>
        <w:autoSpaceDE/>
        <w:autoSpaceDN/>
        <w:bidi w:val="0"/>
        <w:adjustRightInd/>
        <w:snapToGrid/>
        <w:spacing w:before="0" w:beforeAutospacing="0" w:afterLines="50" w:afterAutospacing="0"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区市场监管局（区知识产权局）对申报信息进行初步审核，经初审不符合要求的申请人，应根据申报要求的相关规定对申报信息和材料进行修改补正并重新提交，未在规定时限内重新提交或重新提交后仍不符合要求的，视为放弃申报。</w:t>
      </w:r>
    </w:p>
    <w:p w14:paraId="1F0EF858">
      <w:pPr>
        <w:pStyle w:val="12"/>
        <w:pageBreakBefore w:val="0"/>
        <w:numPr>
          <w:ilvl w:val="0"/>
          <w:numId w:val="4"/>
        </w:numPr>
        <w:kinsoku/>
        <w:wordWrap/>
        <w:overflowPunct/>
        <w:topLinePunct w:val="0"/>
        <w:autoSpaceDE/>
        <w:autoSpaceDN/>
        <w:bidi w:val="0"/>
        <w:adjustRightInd/>
        <w:snapToGrid/>
        <w:spacing w:before="0" w:beforeAutospacing="0" w:afterLines="50" w:afterAutospacing="0"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  初审通过后，区市场监管局（区知识产权局）将初审名单及申报事项情况发至区属各相关部门征求意见，将反馈意见和信用情况报送联席会议复审，复审通过后形成复审名单。</w:t>
      </w:r>
    </w:p>
    <w:p w14:paraId="6E9283C3">
      <w:pPr>
        <w:pStyle w:val="12"/>
        <w:keepNext w:val="0"/>
        <w:keepLines w:val="0"/>
        <w:pageBreakBefore w:val="0"/>
        <w:widowControl/>
        <w:numPr>
          <w:ilvl w:val="0"/>
          <w:numId w:val="4"/>
        </w:numPr>
        <w:kinsoku/>
        <w:wordWrap/>
        <w:overflowPunct/>
        <w:topLinePunct w:val="0"/>
        <w:autoSpaceDE/>
        <w:autoSpaceDN/>
        <w:bidi w:val="0"/>
        <w:adjustRightInd/>
        <w:snapToGrid/>
        <w:spacing w:before="0" w:beforeAutospacing="0" w:after="247" w:afterLines="50" w:afterAutospacing="0" w:line="56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区市场监管局（区知识产权局）将复审名单在政府官方网站上向社会公示，公示期不少于5个工作日。公示期间，任何单位和个人如持有异议，应当在公示期内提交书面意见和有关证据，逾期不予受理。公示期间有异议的项目，由联席会议重审，并作出重审结论。</w:t>
      </w:r>
    </w:p>
    <w:p w14:paraId="431669E5">
      <w:pPr>
        <w:pStyle w:val="12"/>
        <w:keepNext w:val="0"/>
        <w:keepLines w:val="0"/>
        <w:pageBreakBefore w:val="0"/>
        <w:widowControl/>
        <w:numPr>
          <w:ilvl w:val="0"/>
          <w:numId w:val="4"/>
        </w:numPr>
        <w:kinsoku/>
        <w:wordWrap/>
        <w:overflowPunct/>
        <w:topLinePunct w:val="0"/>
        <w:autoSpaceDE/>
        <w:autoSpaceDN/>
        <w:bidi w:val="0"/>
        <w:adjustRightInd/>
        <w:snapToGrid/>
        <w:spacing w:before="0" w:beforeAutospacing="0" w:after="247" w:afterLines="50" w:afterAutospacing="0" w:line="56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  区市场监管局（区知识产权局）将联席会议审查通过的拟支持名单、事项及金额报请区政府审议，审议通过后按程序办理资金拨付手续。</w:t>
      </w:r>
    </w:p>
    <w:p w14:paraId="50B74D1E">
      <w:pPr>
        <w:pStyle w:val="12"/>
        <w:pageBreakBefore w:val="0"/>
        <w:numPr>
          <w:ilvl w:val="0"/>
          <w:numId w:val="4"/>
        </w:numP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  支持资金拨付前，如出现以下情形，则取消支持资格，不予拨付资金：</w:t>
      </w:r>
    </w:p>
    <w:p w14:paraId="1C0EEF15">
      <w:pPr>
        <w:pStyle w:val="12"/>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（一）申报单位已经吊销、注销，或注册地迁出本区行政区域；</w:t>
      </w:r>
    </w:p>
    <w:p w14:paraId="6C099506">
      <w:pPr>
        <w:pStyle w:val="12"/>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（二）申请材料存在虚假或不实内容的；</w:t>
      </w:r>
    </w:p>
    <w:p w14:paraId="6BAD6187">
      <w:pPr>
        <w:pStyle w:val="12"/>
        <w:pageBreakBefore w:val="0"/>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（三）申报单位或单位法定代表人、主要负责人、实际控制人等存在失信信息的。</w:t>
      </w:r>
    </w:p>
    <w:p w14:paraId="4BB15B77">
      <w:pPr>
        <w:pStyle w:val="3"/>
        <w:keepNext/>
        <w:keepLines/>
        <w:pageBreakBefore w:val="0"/>
        <w:widowControl w:val="0"/>
        <w:kinsoku/>
        <w:wordWrap/>
        <w:overflowPunct/>
        <w:topLinePunct w:val="0"/>
        <w:autoSpaceDE/>
        <w:autoSpaceDN/>
        <w:bidi w:val="0"/>
        <w:adjustRightInd/>
        <w:snapToGrid/>
        <w:spacing w:before="493" w:beforeLines="100" w:after="493" w:afterLines="100" w:line="560" w:lineRule="exact"/>
        <w:ind w:left="0" w:leftChars="0" w:right="0" w:rightChars="0" w:firstLine="0" w:firstLineChars="0"/>
        <w:jc w:val="center"/>
        <w:textAlignment w:val="auto"/>
        <w:outlineLvl w:val="1"/>
        <w:rPr>
          <w:b w:val="0"/>
          <w:bCs/>
          <w:szCs w:val="32"/>
        </w:rPr>
      </w:pPr>
      <w:r>
        <w:rPr>
          <w:rFonts w:hint="eastAsia"/>
          <w:b w:val="0"/>
          <w:bCs/>
          <w:szCs w:val="32"/>
        </w:rPr>
        <w:t>第五章  监督管理</w:t>
      </w:r>
    </w:p>
    <w:p w14:paraId="4124CDA4">
      <w:pPr>
        <w:pStyle w:val="12"/>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条  专项资金的管理与使用，应遵守国家有关法律法规和财务管理制度。区市场监管局（区知识产权局）负责编制年度知识产权提升专项资金使用计划，区财政局会同有关部门对资金使用、管理等情况进行监督检查。</w:t>
      </w:r>
    </w:p>
    <w:p w14:paraId="146355FD">
      <w:pPr>
        <w:pStyle w:val="12"/>
        <w:pageBreakBefore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支持资金的申报、审核、发放工作接受社会监督和群众举报。</w:t>
      </w:r>
    </w:p>
    <w:p w14:paraId="7EBF21AD">
      <w:pPr>
        <w:pStyle w:val="12"/>
        <w:pageBreakBefore w:val="0"/>
        <w:kinsoku/>
        <w:wordWrap/>
        <w:overflowPunct/>
        <w:topLinePunct w:val="0"/>
        <w:autoSpaceDE/>
        <w:autoSpaceDN/>
        <w:bidi w:val="0"/>
        <w:adjustRightInd/>
        <w:snapToGrid/>
        <w:spacing w:beforeLines="50" w:beforeAutospacing="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第二十一条</w:t>
      </w:r>
      <w:bookmarkStart w:id="14" w:name="_Hlk170313205"/>
      <w:r>
        <w:rPr>
          <w:rFonts w:hint="eastAsia" w:ascii="仿宋_GB2312" w:hAnsi="仿宋_GB2312" w:eastAsia="仿宋_GB2312" w:cs="仿宋_GB2312"/>
          <w:color w:val="auto"/>
          <w:sz w:val="32"/>
          <w:szCs w:val="32"/>
        </w:rPr>
        <w:t>  申请知识产权专项资金的企事业单位和其他组织，应提供真实的材料和凭据，具体需提供的材料和凭据由区市场监管局（区知识产权局）确定。对弄虚作假、骗取支持资金的，对有知识产权侵权行为的，一经发现，全额追回已支持的资金；情节严重的，将依据《中华人民共和国预算法》、《中华人民共和国会计法》和《财政违法行为处罚处分条例》等法律、法规追究相关责任。</w:t>
      </w:r>
      <w:bookmarkEnd w:id="14"/>
    </w:p>
    <w:p w14:paraId="54219EAC">
      <w:pPr>
        <w:pStyle w:val="12"/>
        <w:pageBreakBefore w:val="0"/>
        <w:kinsoku/>
        <w:wordWrap/>
        <w:overflowPunct/>
        <w:topLinePunct w:val="0"/>
        <w:autoSpaceDE/>
        <w:autoSpaceDN/>
        <w:bidi w:val="0"/>
        <w:adjustRightInd/>
        <w:snapToGrid/>
        <w:spacing w:beforeLines="50" w:beforeAutospacing="0" w:afterAutospacing="0" w:line="560" w:lineRule="exact"/>
        <w:ind w:left="0" w:leftChars="0" w:right="0" w:rightChars="0" w:firstLine="640" w:firstLineChars="200"/>
        <w:textAlignment w:val="auto"/>
        <w:rPr>
          <w:rFonts w:hint="eastAsia" w:ascii="方正仿宋_GB2312" w:hAnsi="方正仿宋_GB2312" w:eastAsia="方正仿宋_GB2312" w:cs="方正仿宋_GB2312"/>
          <w:color w:val="auto"/>
          <w:sz w:val="32"/>
          <w:szCs w:val="32"/>
        </w:rPr>
      </w:pPr>
      <w:r>
        <w:rPr>
          <w:rFonts w:hint="eastAsia" w:ascii="仿宋_GB2312" w:hAnsi="仿宋_GB2312" w:eastAsia="仿宋_GB2312" w:cs="仿宋_GB2312"/>
          <w:color w:val="auto"/>
          <w:sz w:val="32"/>
          <w:szCs w:val="32"/>
        </w:rPr>
        <w:t>第二十二条  获得支持的申请人应积极配合区市场监管局（区知识产权局）开展支持资金专项审计工作，并根据审计工作要求提供相关材料。</w:t>
      </w:r>
    </w:p>
    <w:p w14:paraId="7EBDF44A">
      <w:pPr>
        <w:pStyle w:val="3"/>
        <w:keepNext/>
        <w:keepLines/>
        <w:pageBreakBefore w:val="0"/>
        <w:widowControl w:val="0"/>
        <w:kinsoku/>
        <w:wordWrap/>
        <w:overflowPunct/>
        <w:topLinePunct w:val="0"/>
        <w:autoSpaceDE/>
        <w:autoSpaceDN/>
        <w:bidi w:val="0"/>
        <w:adjustRightInd/>
        <w:snapToGrid/>
        <w:spacing w:before="493" w:beforeLines="100" w:after="493" w:afterLines="100" w:line="560" w:lineRule="exact"/>
        <w:ind w:left="0" w:leftChars="0" w:right="0" w:rightChars="0" w:firstLine="0" w:firstLineChars="0"/>
        <w:jc w:val="center"/>
        <w:textAlignment w:val="auto"/>
        <w:outlineLvl w:val="1"/>
        <w:rPr>
          <w:b w:val="0"/>
          <w:bCs/>
          <w:szCs w:val="32"/>
        </w:rPr>
      </w:pPr>
      <w:r>
        <w:rPr>
          <w:rFonts w:hint="eastAsia"/>
          <w:b w:val="0"/>
          <w:bCs/>
          <w:szCs w:val="32"/>
        </w:rPr>
        <w:t>第六章  附 则</w:t>
      </w:r>
    </w:p>
    <w:p w14:paraId="138B940E">
      <w:pPr>
        <w:pStyle w:val="12"/>
        <w:pageBreakBefore w:val="0"/>
        <w:kinsoku/>
        <w:wordWrap/>
        <w:overflowPunct/>
        <w:topLinePunct w:val="0"/>
        <w:autoSpaceDE/>
        <w:autoSpaceDN/>
        <w:bidi w:val="0"/>
        <w:adjustRightInd/>
        <w:snapToGrid/>
        <w:spacing w:beforeAutospacing="0" w:afterLines="50" w:afterAutospacing="0"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第二十三条  本办法自公布之日起施行，由区市场监管局（区知识产权局）负责解释并组织实施。实施期间如遇相关政策调整，按最新政策执行。</w:t>
      </w:r>
    </w:p>
    <w:p w14:paraId="5C6E77FC">
      <w:pPr>
        <w:pStyle w:val="12"/>
        <w:pageBreakBefore w:val="0"/>
        <w:kinsoku/>
        <w:wordWrap/>
        <w:overflowPunct/>
        <w:topLinePunct w:val="0"/>
        <w:autoSpaceDE/>
        <w:autoSpaceDN/>
        <w:bidi w:val="0"/>
        <w:adjustRightInd/>
        <w:snapToGrid/>
        <w:spacing w:beforeAutospacing="0" w:afterLines="50" w:afterAutospacing="0" w:line="440" w:lineRule="exact"/>
        <w:ind w:left="0" w:leftChars="0" w:right="0" w:rightChars="0" w:firstLine="640" w:firstLineChars="200"/>
        <w:jc w:val="both"/>
        <w:textAlignment w:val="auto"/>
        <w:rPr>
          <w:rFonts w:hint="eastAsia" w:ascii="方正仿宋_GB2312" w:hAnsi="方正仿宋_GB2312" w:eastAsia="方正仿宋_GB2312" w:cs="方正仿宋_GB2312"/>
          <w:color w:val="auto"/>
          <w:sz w:val="32"/>
          <w:szCs w:val="32"/>
        </w:rPr>
      </w:pPr>
    </w:p>
    <w:p w14:paraId="79C81555">
      <w:pPr>
        <w:pStyle w:val="12"/>
        <w:pageBreakBefore w:val="0"/>
        <w:kinsoku/>
        <w:wordWrap/>
        <w:overflowPunct/>
        <w:topLinePunct w:val="0"/>
        <w:autoSpaceDE/>
        <w:autoSpaceDN/>
        <w:bidi w:val="0"/>
        <w:adjustRightInd/>
        <w:snapToGrid/>
        <w:spacing w:beforeAutospacing="0" w:afterLines="50" w:afterAutospacing="0" w:line="440" w:lineRule="exact"/>
        <w:ind w:left="0" w:leftChars="0" w:right="0" w:rightChars="0" w:firstLine="640" w:firstLineChars="200"/>
        <w:jc w:val="both"/>
        <w:textAlignment w:val="auto"/>
        <w:rPr>
          <w:rFonts w:hint="eastAsia" w:ascii="方正仿宋_GB2312" w:hAnsi="方正仿宋_GB2312" w:eastAsia="方正仿宋_GB2312" w:cs="方正仿宋_GB2312"/>
          <w:color w:val="auto"/>
          <w:sz w:val="32"/>
          <w:szCs w:val="32"/>
        </w:rPr>
      </w:pPr>
    </w:p>
    <w:p w14:paraId="7D971950">
      <w:pPr>
        <w:pStyle w:val="12"/>
        <w:pageBreakBefore w:val="0"/>
        <w:kinsoku/>
        <w:wordWrap/>
        <w:overflowPunct/>
        <w:topLinePunct w:val="0"/>
        <w:autoSpaceDE/>
        <w:autoSpaceDN/>
        <w:bidi w:val="0"/>
        <w:adjustRightInd/>
        <w:snapToGrid/>
        <w:spacing w:beforeAutospacing="0" w:afterLines="50" w:afterAutospacing="0" w:line="440" w:lineRule="exact"/>
        <w:ind w:left="0" w:leftChars="0" w:right="0" w:rightChars="0" w:firstLine="640" w:firstLineChars="200"/>
        <w:jc w:val="both"/>
        <w:textAlignment w:val="auto"/>
        <w:rPr>
          <w:rFonts w:hint="eastAsia" w:ascii="方正仿宋_GB2312" w:hAnsi="方正仿宋_GB2312" w:eastAsia="方正仿宋_GB2312" w:cs="方正仿宋_GB2312"/>
          <w:color w:val="auto"/>
          <w:sz w:val="32"/>
          <w:szCs w:val="32"/>
        </w:rPr>
      </w:pPr>
    </w:p>
    <w:p w14:paraId="417323A8">
      <w:pPr>
        <w:pStyle w:val="12"/>
        <w:pageBreakBefore w:val="0"/>
        <w:kinsoku/>
        <w:wordWrap/>
        <w:overflowPunct/>
        <w:topLinePunct w:val="0"/>
        <w:autoSpaceDE/>
        <w:autoSpaceDN/>
        <w:bidi w:val="0"/>
        <w:adjustRightInd/>
        <w:snapToGrid/>
        <w:spacing w:beforeAutospacing="0" w:afterLines="50" w:afterAutospacing="0" w:line="440" w:lineRule="exact"/>
        <w:ind w:left="0" w:leftChars="0" w:right="0" w:rightChars="0" w:firstLine="640" w:firstLineChars="200"/>
        <w:jc w:val="both"/>
        <w:textAlignment w:val="auto"/>
        <w:rPr>
          <w:rFonts w:hint="eastAsia" w:ascii="方正仿宋_GB2312" w:hAnsi="方正仿宋_GB2312" w:eastAsia="方正仿宋_GB2312" w:cs="方正仿宋_GB2312"/>
          <w:color w:val="auto"/>
          <w:sz w:val="32"/>
          <w:szCs w:val="32"/>
        </w:rPr>
      </w:pPr>
    </w:p>
    <w:p w14:paraId="7B2E32B1">
      <w:pPr>
        <w:pStyle w:val="12"/>
        <w:pageBreakBefore w:val="0"/>
        <w:kinsoku/>
        <w:wordWrap/>
        <w:overflowPunct/>
        <w:topLinePunct w:val="0"/>
        <w:autoSpaceDE/>
        <w:autoSpaceDN/>
        <w:bidi w:val="0"/>
        <w:adjustRightInd/>
        <w:snapToGrid/>
        <w:spacing w:beforeAutospacing="0" w:afterLines="50" w:afterAutospacing="0" w:line="440" w:lineRule="exact"/>
        <w:ind w:left="0" w:leftChars="0" w:right="0" w:rightChars="0" w:firstLine="640" w:firstLineChars="200"/>
        <w:jc w:val="both"/>
        <w:textAlignment w:val="auto"/>
        <w:rPr>
          <w:rFonts w:hint="eastAsia" w:ascii="方正仿宋_GB2312" w:hAnsi="方正仿宋_GB2312" w:eastAsia="方正仿宋_GB2312" w:cs="方正仿宋_GB2312"/>
          <w:color w:val="auto"/>
          <w:sz w:val="32"/>
          <w:szCs w:val="32"/>
        </w:rPr>
      </w:pPr>
    </w:p>
    <w:p w14:paraId="6FB6A059">
      <w:pPr>
        <w:pStyle w:val="12"/>
        <w:pageBreakBefore w:val="0"/>
        <w:kinsoku/>
        <w:wordWrap/>
        <w:overflowPunct/>
        <w:topLinePunct w:val="0"/>
        <w:autoSpaceDE/>
        <w:autoSpaceDN/>
        <w:bidi w:val="0"/>
        <w:adjustRightInd/>
        <w:snapToGrid/>
        <w:spacing w:beforeAutospacing="0" w:afterLines="50" w:afterAutospacing="0" w:line="440" w:lineRule="exact"/>
        <w:ind w:left="0" w:leftChars="0" w:right="0" w:rightChars="0" w:firstLine="640" w:firstLineChars="200"/>
        <w:jc w:val="both"/>
        <w:textAlignment w:val="auto"/>
        <w:rPr>
          <w:rFonts w:hint="eastAsia" w:ascii="方正仿宋_GB2312" w:hAnsi="方正仿宋_GB2312" w:eastAsia="方正仿宋_GB2312" w:cs="方正仿宋_GB2312"/>
          <w:color w:val="auto"/>
          <w:sz w:val="32"/>
          <w:szCs w:val="32"/>
        </w:rPr>
      </w:pPr>
    </w:p>
    <w:p w14:paraId="77072FFB">
      <w:pPr>
        <w:pStyle w:val="2"/>
        <w:rPr>
          <w:rFonts w:hint="eastAsia"/>
        </w:rPr>
      </w:pPr>
    </w:p>
    <w:p w14:paraId="02242056">
      <w:pPr>
        <w:adjustRightInd w:val="0"/>
        <w:ind w:firstLine="210" w:firstLineChars="100"/>
      </w:pPr>
      <w:r>
        <w:rPr>
          <w:rFonts w:eastAsia="宋体"/>
          <w:color w:val="000000"/>
          <w:sz w:val="21"/>
        </w:rPr>
        <mc:AlternateContent>
          <mc:Choice Requires="wps">
            <w:drawing>
              <wp:anchor distT="0" distB="0" distL="114300" distR="114300" simplePos="0" relativeHeight="251662336" behindDoc="0" locked="0" layoutInCell="0" allowOverlap="1">
                <wp:simplePos x="0" y="0"/>
                <wp:positionH relativeFrom="column">
                  <wp:posOffset>9525</wp:posOffset>
                </wp:positionH>
                <wp:positionV relativeFrom="paragraph">
                  <wp:posOffset>329565</wp:posOffset>
                </wp:positionV>
                <wp:extent cx="5615940" cy="0"/>
                <wp:effectExtent l="0" t="0" r="0" b="0"/>
                <wp:wrapNone/>
                <wp:docPr id="6" name="Line 4"/>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Line 4" o:spid="_x0000_s1026" o:spt="20" style="position:absolute;left:0pt;margin-left:0.75pt;margin-top:25.95pt;height:0pt;width:442.2pt;z-index:251662336;mso-width-relative:page;mso-height-relative:page;" filled="f" stroked="t" coordsize="21600,21600" o:allowincell="f" o:gfxdata="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pcSlddUAAAAHAQAADwAA&#10;AAAAAAABACAAAAAiAAAAZHJzL2Rvd25yZXYueG1sUEsBAhQAFAAAAAgAh07iQJeQXT/gAQAA6AMA&#10;AA4AAAAAAAAAAQAgAAAAJAEAAGRycy9lMm9Eb2MueG1sUEsFBgAAAAAGAAYAWQEAAHYFAAAAAA==&#10;">
                <v:fill on="f" focussize="0,0"/>
                <v:stroke weight="1pt" color="#000000" joinstyle="round"/>
                <v:imagedata o:title=""/>
                <o:lock v:ext="edit" aspectratio="f"/>
              </v:line>
            </w:pict>
          </mc:Fallback>
        </mc:AlternateContent>
      </w:r>
      <w:r>
        <w:rPr>
          <w:rFonts w:eastAsia="宋体"/>
          <w:color w:val="000000"/>
          <w:sz w:val="21"/>
        </w:rPr>
        <mc:AlternateContent>
          <mc:Choice Requires="wps">
            <w:drawing>
              <wp:anchor distT="0" distB="0" distL="114300" distR="114300" simplePos="0" relativeHeight="251663360" behindDoc="0" locked="0" layoutInCell="0" allowOverlap="1">
                <wp:simplePos x="0" y="0"/>
                <wp:positionH relativeFrom="column">
                  <wp:posOffset>0</wp:posOffset>
                </wp:positionH>
                <wp:positionV relativeFrom="paragraph">
                  <wp:posOffset>-1905</wp:posOffset>
                </wp:positionV>
                <wp:extent cx="5615940" cy="0"/>
                <wp:effectExtent l="0" t="0" r="0" b="0"/>
                <wp:wrapNone/>
                <wp:docPr id="7" name="Line 3"/>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Line 3" o:spid="_x0000_s1026" o:spt="20" style="position:absolute;left:0pt;margin-left:0pt;margin-top:-0.15pt;height:0pt;width:442.2pt;z-index:251663360;mso-width-relative:page;mso-height-relative:page;" filled="f" stroked="t" coordsize="21600,21600" o:allowincell="f" o:gfxdata="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35ARk1AAAAAQBAAAPAAAA&#10;AAAAAAEAIAAAACIAAABkcnMvZG93bnJldi54bWxQSwECFAAUAAAACACHTuJAYPiez+ABAADoAwAA&#10;DgAAAAAAAAABACAAAAAjAQAAZHJzL2Uyb0RvYy54bWxQSwUGAAAAAAYABgBZAQAAdQUAAAAA&#10;">
                <v:fill on="f" focussize="0,0"/>
                <v:stroke weight="1pt" color="#000000" joinstyle="round"/>
                <v:imagedata o:title=""/>
                <o:lock v:ext="edit" aspectratio="f"/>
              </v:line>
            </w:pict>
          </mc:Fallback>
        </mc:AlternateContent>
      </w:r>
      <w:r>
        <w:rPr>
          <w:rFonts w:hint="eastAsia" w:ascii="仿宋_GB2312"/>
          <w:color w:val="000000"/>
          <w:sz w:val="28"/>
          <w:szCs w:val="28"/>
        </w:rPr>
        <w:t>北京市门头沟区</w:t>
      </w:r>
      <w:r>
        <w:rPr>
          <w:rFonts w:hint="eastAsia" w:ascii="仿宋_GB2312"/>
          <w:color w:val="000000"/>
          <w:sz w:val="28"/>
          <w:szCs w:val="28"/>
          <w:lang w:eastAsia="zh-CN"/>
        </w:rPr>
        <w:t>知识产权</w:t>
      </w:r>
      <w:r>
        <w:rPr>
          <w:rFonts w:hint="eastAsia" w:ascii="仿宋_GB2312"/>
          <w:color w:val="000000"/>
          <w:sz w:val="28"/>
          <w:szCs w:val="28"/>
        </w:rPr>
        <w:t xml:space="preserve">局办公室     </w:t>
      </w:r>
      <w:r>
        <w:rPr>
          <w:rFonts w:hint="eastAsia" w:ascii="仿宋_GB2312"/>
          <w:color w:val="000000"/>
          <w:sz w:val="28"/>
          <w:szCs w:val="28"/>
          <w:lang w:val="en-US" w:eastAsia="zh-CN"/>
        </w:rPr>
        <w:t xml:space="preserve">    </w:t>
      </w:r>
      <w:r>
        <w:rPr>
          <w:rFonts w:hint="eastAsia" w:ascii="仿宋_GB2312"/>
          <w:color w:val="000000"/>
          <w:sz w:val="28"/>
          <w:szCs w:val="28"/>
        </w:rPr>
        <w:t xml:space="preserve"> 2024年</w:t>
      </w:r>
      <w:r>
        <w:rPr>
          <w:rFonts w:hint="eastAsia" w:ascii="仿宋_GB2312"/>
          <w:color w:val="000000"/>
          <w:sz w:val="28"/>
          <w:szCs w:val="28"/>
          <w:lang w:val="en-US" w:eastAsia="zh-CN"/>
        </w:rPr>
        <w:t>12</w:t>
      </w:r>
      <w:r>
        <w:rPr>
          <w:rFonts w:hint="eastAsia" w:ascii="仿宋_GB2312"/>
          <w:color w:val="000000"/>
          <w:sz w:val="28"/>
          <w:szCs w:val="28"/>
        </w:rPr>
        <w:t>月</w:t>
      </w:r>
      <w:r>
        <w:rPr>
          <w:rFonts w:hint="eastAsia" w:ascii="仿宋_GB2312"/>
          <w:color w:val="000000"/>
          <w:sz w:val="28"/>
          <w:szCs w:val="28"/>
          <w:lang w:val="en-US" w:eastAsia="zh-CN"/>
        </w:rPr>
        <w:t>18</w:t>
      </w:r>
      <w:r>
        <w:rPr>
          <w:rFonts w:hint="eastAsia" w:ascii="仿宋_GB2312"/>
          <w:color w:val="000000"/>
          <w:sz w:val="28"/>
          <w:szCs w:val="28"/>
        </w:rPr>
        <w:t>日印发</w:t>
      </w:r>
    </w:p>
    <w:sectPr>
      <w:footerReference r:id="rId3" w:type="default"/>
      <w:pgSz w:w="11905" w:h="16838"/>
      <w:pgMar w:top="2098" w:right="1474" w:bottom="1984" w:left="1587" w:header="119" w:footer="992" w:gutter="0"/>
      <w:pgNumType w:fmt="numberInDash"/>
      <w:cols w:space="0" w:num="1"/>
      <w:rtlGutter w:val="0"/>
      <w:docGrid w:type="lines" w:linePitch="49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A449CC6-3AB9-442E-9532-B3993AE2883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C808901B-40E7-48BD-8C08-355ACDBACF21}"/>
  </w:font>
  <w:font w:name="仿宋">
    <w:panose1 w:val="02010609060101010101"/>
    <w:charset w:val="86"/>
    <w:family w:val="modern"/>
    <w:pitch w:val="default"/>
    <w:sig w:usb0="800002BF" w:usb1="38CF7CFA" w:usb2="00000016" w:usb3="00000000" w:csb0="00040001" w:csb1="00000000"/>
  </w:font>
  <w:font w:nam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embedRegular r:id="rId3" w:fontKey="{59D02192-982B-474A-813F-7823D667F1C9}"/>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script"/>
    <w:pitch w:val="default"/>
    <w:sig w:usb0="00000001" w:usb1="08000000" w:usb2="00000000" w:usb3="00000000" w:csb0="00040000" w:csb1="00000000"/>
    <w:embedRegular r:id="rId4" w:fontKey="{7BED6D5E-7956-4371-A05C-36CE4E5C6EB6}"/>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embedRegular r:id="rId5" w:fontKey="{86C1E168-A956-4274-ABBC-6F267B8512D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60B57">
    <w:pPr>
      <w:snapToGrid w:val="0"/>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-19050</wp:posOffset>
              </wp:positionV>
              <wp:extent cx="1828800" cy="22733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2273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02C165">
                          <w:pPr>
                            <w:snapToGrid w:val="0"/>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5pt;height:17.9pt;width:144pt;mso-position-horizontal:outside;mso-position-horizontal-relative:margin;mso-wrap-style:none;z-index:251659264;mso-width-relative:page;mso-height-relative:page;" filled="f" stroked="f" coordsize="21600,21600" o:gfxdata="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iGk5DWAAAABgEAAA8AAAAAAAAAAQAgAAAAIgAAAGRycy9kb3ducmV2Lnht&#10;bFBLAQIUABQAAAAIAIdO4kCnU6oYNAIAAGAEAAAOAAAAAAAAAAEAIAAAACUBAABkcnMvZTJvRG9j&#10;LnhtbFBLBQYAAAAABgAGAFkBAADLBQAAAAA=&#10;">
              <v:fill on="f" focussize="0,0"/>
              <v:stroke on="f" weight="0.5pt"/>
              <v:imagedata o:title=""/>
              <o:lock v:ext="edit" aspectratio="f"/>
              <v:textbox inset="0mm,0mm,0mm,0mm">
                <w:txbxContent>
                  <w:p w14:paraId="2F02C165">
                    <w:pPr>
                      <w:snapToGrid w:val="0"/>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r>
      <w:rPr>
        <w:rFonts w:hint="eastAsia"/>
        <w:lang w:val="en-US" w:eastAsia="zh-CN"/>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14A210"/>
    <w:multiLevelType w:val="singleLevel"/>
    <w:tmpl w:val="8614A210"/>
    <w:lvl w:ilvl="0" w:tentative="0">
      <w:start w:val="3"/>
      <w:numFmt w:val="chineseCounting"/>
      <w:suff w:val="space"/>
      <w:lvlText w:val="第%1条"/>
      <w:lvlJc w:val="left"/>
      <w:rPr>
        <w:rFonts w:hint="eastAsia"/>
      </w:rPr>
    </w:lvl>
  </w:abstractNum>
  <w:abstractNum w:abstractNumId="1">
    <w:nsid w:val="0AE81EF7"/>
    <w:multiLevelType w:val="singleLevel"/>
    <w:tmpl w:val="0AE81EF7"/>
    <w:lvl w:ilvl="0" w:tentative="0">
      <w:start w:val="1"/>
      <w:numFmt w:val="chineseCounting"/>
      <w:suff w:val="nothing"/>
      <w:lvlText w:val="（%1）"/>
      <w:lvlJc w:val="left"/>
      <w:rPr>
        <w:rFonts w:hint="eastAsia"/>
      </w:rPr>
    </w:lvl>
  </w:abstractNum>
  <w:abstractNum w:abstractNumId="2">
    <w:nsid w:val="315FBBEF"/>
    <w:multiLevelType w:val="singleLevel"/>
    <w:tmpl w:val="315FBBEF"/>
    <w:lvl w:ilvl="0" w:tentative="0">
      <w:start w:val="1"/>
      <w:numFmt w:val="chineseCounting"/>
      <w:suff w:val="nothing"/>
      <w:lvlText w:val="（%1）"/>
      <w:lvlJc w:val="left"/>
      <w:rPr>
        <w:rFonts w:hint="eastAsia"/>
      </w:rPr>
    </w:lvl>
  </w:abstractNum>
  <w:abstractNum w:abstractNumId="3">
    <w:nsid w:val="667293A8"/>
    <w:multiLevelType w:val="singleLevel"/>
    <w:tmpl w:val="667293A8"/>
    <w:lvl w:ilvl="0" w:tentative="0">
      <w:start w:val="15"/>
      <w:numFmt w:val="chineseCounting"/>
      <w:suff w:val="nothing"/>
      <w:lvlText w:val="第%1条"/>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60"/>
  <w:drawingGridVerticalSpacing w:val="245"/>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3YTFjMGRmYzA1ZTJhZWI5YTQ3YWRjMWNiNjhlYmIifQ=="/>
  </w:docVars>
  <w:rsids>
    <w:rsidRoot w:val="007B725F"/>
    <w:rsid w:val="00004992"/>
    <w:rsid w:val="00007443"/>
    <w:rsid w:val="000074BB"/>
    <w:rsid w:val="00007C78"/>
    <w:rsid w:val="000123BA"/>
    <w:rsid w:val="0001281F"/>
    <w:rsid w:val="00015240"/>
    <w:rsid w:val="00020CC0"/>
    <w:rsid w:val="000212F4"/>
    <w:rsid w:val="00024BED"/>
    <w:rsid w:val="00030C32"/>
    <w:rsid w:val="000448FA"/>
    <w:rsid w:val="00044CC8"/>
    <w:rsid w:val="00044D39"/>
    <w:rsid w:val="00045E75"/>
    <w:rsid w:val="000478F6"/>
    <w:rsid w:val="00047CED"/>
    <w:rsid w:val="000509EC"/>
    <w:rsid w:val="00053E3A"/>
    <w:rsid w:val="000547D6"/>
    <w:rsid w:val="000572E6"/>
    <w:rsid w:val="00057F9A"/>
    <w:rsid w:val="000644D9"/>
    <w:rsid w:val="00066B6E"/>
    <w:rsid w:val="00084582"/>
    <w:rsid w:val="00086BBF"/>
    <w:rsid w:val="00090FBE"/>
    <w:rsid w:val="00093576"/>
    <w:rsid w:val="00097E11"/>
    <w:rsid w:val="000A09EC"/>
    <w:rsid w:val="000A150A"/>
    <w:rsid w:val="000A340A"/>
    <w:rsid w:val="000B02A5"/>
    <w:rsid w:val="000B3039"/>
    <w:rsid w:val="000B3164"/>
    <w:rsid w:val="000B4EF9"/>
    <w:rsid w:val="000B5A46"/>
    <w:rsid w:val="000B5E60"/>
    <w:rsid w:val="000B5EF3"/>
    <w:rsid w:val="000B75F6"/>
    <w:rsid w:val="000C3BC5"/>
    <w:rsid w:val="000C42EB"/>
    <w:rsid w:val="000C491E"/>
    <w:rsid w:val="000C4B3D"/>
    <w:rsid w:val="000C5540"/>
    <w:rsid w:val="000D02FA"/>
    <w:rsid w:val="000D1B68"/>
    <w:rsid w:val="000D2CBC"/>
    <w:rsid w:val="000D2CEF"/>
    <w:rsid w:val="000D2CF5"/>
    <w:rsid w:val="000D2DC5"/>
    <w:rsid w:val="000D5063"/>
    <w:rsid w:val="000D69D8"/>
    <w:rsid w:val="000D7648"/>
    <w:rsid w:val="000E096A"/>
    <w:rsid w:val="000E604E"/>
    <w:rsid w:val="000E6BC0"/>
    <w:rsid w:val="000E75E3"/>
    <w:rsid w:val="000E7C04"/>
    <w:rsid w:val="000F3AE6"/>
    <w:rsid w:val="000F5739"/>
    <w:rsid w:val="001007E7"/>
    <w:rsid w:val="00103F0E"/>
    <w:rsid w:val="001064FA"/>
    <w:rsid w:val="00106E85"/>
    <w:rsid w:val="00111D2B"/>
    <w:rsid w:val="00112025"/>
    <w:rsid w:val="00112102"/>
    <w:rsid w:val="001225A7"/>
    <w:rsid w:val="0012403D"/>
    <w:rsid w:val="0012498A"/>
    <w:rsid w:val="0012760A"/>
    <w:rsid w:val="001278BC"/>
    <w:rsid w:val="001337F5"/>
    <w:rsid w:val="00134112"/>
    <w:rsid w:val="00134447"/>
    <w:rsid w:val="00134783"/>
    <w:rsid w:val="00135A42"/>
    <w:rsid w:val="00136118"/>
    <w:rsid w:val="00136703"/>
    <w:rsid w:val="00136ABD"/>
    <w:rsid w:val="00137579"/>
    <w:rsid w:val="001446CE"/>
    <w:rsid w:val="00147957"/>
    <w:rsid w:val="00150717"/>
    <w:rsid w:val="00151215"/>
    <w:rsid w:val="001518A1"/>
    <w:rsid w:val="00154FF2"/>
    <w:rsid w:val="001664F5"/>
    <w:rsid w:val="00171A51"/>
    <w:rsid w:val="00172424"/>
    <w:rsid w:val="00172C3E"/>
    <w:rsid w:val="0017371B"/>
    <w:rsid w:val="0017669B"/>
    <w:rsid w:val="0018088C"/>
    <w:rsid w:val="00181B70"/>
    <w:rsid w:val="0018299C"/>
    <w:rsid w:val="00183331"/>
    <w:rsid w:val="001838D6"/>
    <w:rsid w:val="00185806"/>
    <w:rsid w:val="00187DB7"/>
    <w:rsid w:val="00190264"/>
    <w:rsid w:val="001918B4"/>
    <w:rsid w:val="00193183"/>
    <w:rsid w:val="001945A6"/>
    <w:rsid w:val="00195242"/>
    <w:rsid w:val="00195AD5"/>
    <w:rsid w:val="00196787"/>
    <w:rsid w:val="0019713F"/>
    <w:rsid w:val="001977D6"/>
    <w:rsid w:val="001A08F6"/>
    <w:rsid w:val="001A13A1"/>
    <w:rsid w:val="001A1BD0"/>
    <w:rsid w:val="001A31D3"/>
    <w:rsid w:val="001A5E39"/>
    <w:rsid w:val="001A6389"/>
    <w:rsid w:val="001A7012"/>
    <w:rsid w:val="001A770B"/>
    <w:rsid w:val="001B5174"/>
    <w:rsid w:val="001B7027"/>
    <w:rsid w:val="001C0029"/>
    <w:rsid w:val="001C0FFD"/>
    <w:rsid w:val="001C28F8"/>
    <w:rsid w:val="001C4FBF"/>
    <w:rsid w:val="001C68FD"/>
    <w:rsid w:val="001C694E"/>
    <w:rsid w:val="001C6F74"/>
    <w:rsid w:val="001D1267"/>
    <w:rsid w:val="001D21B6"/>
    <w:rsid w:val="001D2753"/>
    <w:rsid w:val="001D558C"/>
    <w:rsid w:val="001D6C34"/>
    <w:rsid w:val="001E1705"/>
    <w:rsid w:val="001E374D"/>
    <w:rsid w:val="001E5C3A"/>
    <w:rsid w:val="001E6167"/>
    <w:rsid w:val="001F05E1"/>
    <w:rsid w:val="001F179F"/>
    <w:rsid w:val="001F5260"/>
    <w:rsid w:val="001F6C44"/>
    <w:rsid w:val="001F7962"/>
    <w:rsid w:val="00201190"/>
    <w:rsid w:val="0020132B"/>
    <w:rsid w:val="00201D8E"/>
    <w:rsid w:val="002026A1"/>
    <w:rsid w:val="00206D98"/>
    <w:rsid w:val="0020781E"/>
    <w:rsid w:val="00213BD9"/>
    <w:rsid w:val="00214234"/>
    <w:rsid w:val="002146BF"/>
    <w:rsid w:val="00214C71"/>
    <w:rsid w:val="00214D1B"/>
    <w:rsid w:val="00215694"/>
    <w:rsid w:val="00216FC7"/>
    <w:rsid w:val="00226FC2"/>
    <w:rsid w:val="00233445"/>
    <w:rsid w:val="00236F5E"/>
    <w:rsid w:val="002400C7"/>
    <w:rsid w:val="002401B7"/>
    <w:rsid w:val="002417AA"/>
    <w:rsid w:val="002455C9"/>
    <w:rsid w:val="002462E0"/>
    <w:rsid w:val="002509EF"/>
    <w:rsid w:val="00251800"/>
    <w:rsid w:val="00254FD8"/>
    <w:rsid w:val="0025500D"/>
    <w:rsid w:val="00256998"/>
    <w:rsid w:val="002570C6"/>
    <w:rsid w:val="00257F96"/>
    <w:rsid w:val="00262449"/>
    <w:rsid w:val="00265429"/>
    <w:rsid w:val="0026745C"/>
    <w:rsid w:val="002704DE"/>
    <w:rsid w:val="00272CB6"/>
    <w:rsid w:val="00274927"/>
    <w:rsid w:val="00281592"/>
    <w:rsid w:val="002828A1"/>
    <w:rsid w:val="00285FE7"/>
    <w:rsid w:val="00290CBB"/>
    <w:rsid w:val="002933A0"/>
    <w:rsid w:val="00294316"/>
    <w:rsid w:val="002946FC"/>
    <w:rsid w:val="00296B2F"/>
    <w:rsid w:val="002979A5"/>
    <w:rsid w:val="002A2345"/>
    <w:rsid w:val="002A39A5"/>
    <w:rsid w:val="002A5AD8"/>
    <w:rsid w:val="002B418E"/>
    <w:rsid w:val="002B52C5"/>
    <w:rsid w:val="002B57B5"/>
    <w:rsid w:val="002B6FC8"/>
    <w:rsid w:val="002C1B79"/>
    <w:rsid w:val="002C1F78"/>
    <w:rsid w:val="002C2973"/>
    <w:rsid w:val="002C3E92"/>
    <w:rsid w:val="002C4511"/>
    <w:rsid w:val="002C4BA0"/>
    <w:rsid w:val="002D01A2"/>
    <w:rsid w:val="002D32E2"/>
    <w:rsid w:val="002D396B"/>
    <w:rsid w:val="002D3E9B"/>
    <w:rsid w:val="002D5BE7"/>
    <w:rsid w:val="002D76F0"/>
    <w:rsid w:val="002E0824"/>
    <w:rsid w:val="002E3620"/>
    <w:rsid w:val="002E3ADF"/>
    <w:rsid w:val="002E6406"/>
    <w:rsid w:val="002E73B2"/>
    <w:rsid w:val="002F0B8E"/>
    <w:rsid w:val="002F0F29"/>
    <w:rsid w:val="002F23EB"/>
    <w:rsid w:val="002F347B"/>
    <w:rsid w:val="002F5E28"/>
    <w:rsid w:val="002F69F9"/>
    <w:rsid w:val="00306236"/>
    <w:rsid w:val="003106CF"/>
    <w:rsid w:val="003114E8"/>
    <w:rsid w:val="00314688"/>
    <w:rsid w:val="003201CF"/>
    <w:rsid w:val="00325873"/>
    <w:rsid w:val="00331AEF"/>
    <w:rsid w:val="003329BD"/>
    <w:rsid w:val="00333419"/>
    <w:rsid w:val="0033508C"/>
    <w:rsid w:val="0033774E"/>
    <w:rsid w:val="00337CFB"/>
    <w:rsid w:val="003408B9"/>
    <w:rsid w:val="00340CD8"/>
    <w:rsid w:val="0034233D"/>
    <w:rsid w:val="00343987"/>
    <w:rsid w:val="0034532B"/>
    <w:rsid w:val="00347864"/>
    <w:rsid w:val="00350009"/>
    <w:rsid w:val="00351684"/>
    <w:rsid w:val="003535BD"/>
    <w:rsid w:val="003536E0"/>
    <w:rsid w:val="00361329"/>
    <w:rsid w:val="003618BC"/>
    <w:rsid w:val="00361C26"/>
    <w:rsid w:val="00362A2A"/>
    <w:rsid w:val="00364540"/>
    <w:rsid w:val="00366135"/>
    <w:rsid w:val="003679F0"/>
    <w:rsid w:val="003708EC"/>
    <w:rsid w:val="00372552"/>
    <w:rsid w:val="00374855"/>
    <w:rsid w:val="00374F0F"/>
    <w:rsid w:val="00380493"/>
    <w:rsid w:val="003864D1"/>
    <w:rsid w:val="00387E8B"/>
    <w:rsid w:val="00392798"/>
    <w:rsid w:val="00392893"/>
    <w:rsid w:val="003939F3"/>
    <w:rsid w:val="00394188"/>
    <w:rsid w:val="00394204"/>
    <w:rsid w:val="003954EB"/>
    <w:rsid w:val="0039672A"/>
    <w:rsid w:val="003A15CC"/>
    <w:rsid w:val="003A380A"/>
    <w:rsid w:val="003A3885"/>
    <w:rsid w:val="003A5BB7"/>
    <w:rsid w:val="003A6815"/>
    <w:rsid w:val="003A7A9A"/>
    <w:rsid w:val="003B0113"/>
    <w:rsid w:val="003B0659"/>
    <w:rsid w:val="003B23A2"/>
    <w:rsid w:val="003C1597"/>
    <w:rsid w:val="003C2897"/>
    <w:rsid w:val="003C5882"/>
    <w:rsid w:val="003C71C6"/>
    <w:rsid w:val="003D1D3A"/>
    <w:rsid w:val="003D232C"/>
    <w:rsid w:val="003D45E8"/>
    <w:rsid w:val="003D7837"/>
    <w:rsid w:val="003D79B8"/>
    <w:rsid w:val="003D7D25"/>
    <w:rsid w:val="003E0218"/>
    <w:rsid w:val="003E0D6F"/>
    <w:rsid w:val="003E2510"/>
    <w:rsid w:val="003E4703"/>
    <w:rsid w:val="003E54B7"/>
    <w:rsid w:val="003E5FCD"/>
    <w:rsid w:val="003E6209"/>
    <w:rsid w:val="003E67C9"/>
    <w:rsid w:val="003E7C87"/>
    <w:rsid w:val="003E7D67"/>
    <w:rsid w:val="003F225E"/>
    <w:rsid w:val="003F2C08"/>
    <w:rsid w:val="003F596D"/>
    <w:rsid w:val="003F6EBF"/>
    <w:rsid w:val="003F74FE"/>
    <w:rsid w:val="00401BCC"/>
    <w:rsid w:val="00403D63"/>
    <w:rsid w:val="004049A2"/>
    <w:rsid w:val="00406A24"/>
    <w:rsid w:val="004074B2"/>
    <w:rsid w:val="004109C6"/>
    <w:rsid w:val="004115FA"/>
    <w:rsid w:val="00412C59"/>
    <w:rsid w:val="00415C23"/>
    <w:rsid w:val="00417758"/>
    <w:rsid w:val="00421AEB"/>
    <w:rsid w:val="00421D08"/>
    <w:rsid w:val="00422A1B"/>
    <w:rsid w:val="0042465E"/>
    <w:rsid w:val="00424E15"/>
    <w:rsid w:val="0042508E"/>
    <w:rsid w:val="00425A06"/>
    <w:rsid w:val="00426D75"/>
    <w:rsid w:val="0043101A"/>
    <w:rsid w:val="00432BB9"/>
    <w:rsid w:val="00433875"/>
    <w:rsid w:val="00445BCA"/>
    <w:rsid w:val="004509E6"/>
    <w:rsid w:val="00454E82"/>
    <w:rsid w:val="00455142"/>
    <w:rsid w:val="0046070E"/>
    <w:rsid w:val="00461AF4"/>
    <w:rsid w:val="00463199"/>
    <w:rsid w:val="00473716"/>
    <w:rsid w:val="00473D8E"/>
    <w:rsid w:val="004752AD"/>
    <w:rsid w:val="00475576"/>
    <w:rsid w:val="0048130B"/>
    <w:rsid w:val="00483817"/>
    <w:rsid w:val="0048416F"/>
    <w:rsid w:val="00485FBD"/>
    <w:rsid w:val="004862F6"/>
    <w:rsid w:val="00490CDA"/>
    <w:rsid w:val="004953DB"/>
    <w:rsid w:val="004962D4"/>
    <w:rsid w:val="004A01B4"/>
    <w:rsid w:val="004A0731"/>
    <w:rsid w:val="004A1E1A"/>
    <w:rsid w:val="004A1FC9"/>
    <w:rsid w:val="004A27F6"/>
    <w:rsid w:val="004A3922"/>
    <w:rsid w:val="004A6710"/>
    <w:rsid w:val="004B0A18"/>
    <w:rsid w:val="004B190C"/>
    <w:rsid w:val="004B4C70"/>
    <w:rsid w:val="004B4E7F"/>
    <w:rsid w:val="004C20AE"/>
    <w:rsid w:val="004C571F"/>
    <w:rsid w:val="004C6C80"/>
    <w:rsid w:val="004C70B0"/>
    <w:rsid w:val="004D49E4"/>
    <w:rsid w:val="004D5B4A"/>
    <w:rsid w:val="004D6EED"/>
    <w:rsid w:val="004E1894"/>
    <w:rsid w:val="004E623C"/>
    <w:rsid w:val="004F12EC"/>
    <w:rsid w:val="004F229D"/>
    <w:rsid w:val="004F326C"/>
    <w:rsid w:val="004F655C"/>
    <w:rsid w:val="004F66FD"/>
    <w:rsid w:val="005001B2"/>
    <w:rsid w:val="00500847"/>
    <w:rsid w:val="00501390"/>
    <w:rsid w:val="00503A1C"/>
    <w:rsid w:val="00505F06"/>
    <w:rsid w:val="00507081"/>
    <w:rsid w:val="00510BF5"/>
    <w:rsid w:val="005127E0"/>
    <w:rsid w:val="00512B5C"/>
    <w:rsid w:val="00514A41"/>
    <w:rsid w:val="00515327"/>
    <w:rsid w:val="00515B6C"/>
    <w:rsid w:val="005203D8"/>
    <w:rsid w:val="005213C8"/>
    <w:rsid w:val="005233F8"/>
    <w:rsid w:val="00523EA6"/>
    <w:rsid w:val="00524EEF"/>
    <w:rsid w:val="005264A8"/>
    <w:rsid w:val="00530FA3"/>
    <w:rsid w:val="0053195B"/>
    <w:rsid w:val="00534757"/>
    <w:rsid w:val="00534ADF"/>
    <w:rsid w:val="00534EA3"/>
    <w:rsid w:val="00541B74"/>
    <w:rsid w:val="0054378A"/>
    <w:rsid w:val="00550DF6"/>
    <w:rsid w:val="00553A03"/>
    <w:rsid w:val="00556072"/>
    <w:rsid w:val="005566B8"/>
    <w:rsid w:val="00565CBB"/>
    <w:rsid w:val="00570371"/>
    <w:rsid w:val="005716B6"/>
    <w:rsid w:val="0057236B"/>
    <w:rsid w:val="0057726D"/>
    <w:rsid w:val="00577E06"/>
    <w:rsid w:val="005831E0"/>
    <w:rsid w:val="00583EDF"/>
    <w:rsid w:val="0058605E"/>
    <w:rsid w:val="005875F2"/>
    <w:rsid w:val="005879BF"/>
    <w:rsid w:val="00587D4A"/>
    <w:rsid w:val="00590A4B"/>
    <w:rsid w:val="00591735"/>
    <w:rsid w:val="00592648"/>
    <w:rsid w:val="00592984"/>
    <w:rsid w:val="00594B23"/>
    <w:rsid w:val="00596C37"/>
    <w:rsid w:val="005978C7"/>
    <w:rsid w:val="005A2693"/>
    <w:rsid w:val="005A3195"/>
    <w:rsid w:val="005A3349"/>
    <w:rsid w:val="005A3909"/>
    <w:rsid w:val="005A4C75"/>
    <w:rsid w:val="005B273B"/>
    <w:rsid w:val="005B2E79"/>
    <w:rsid w:val="005B3F00"/>
    <w:rsid w:val="005B4AC9"/>
    <w:rsid w:val="005B5433"/>
    <w:rsid w:val="005B5E89"/>
    <w:rsid w:val="005C2E67"/>
    <w:rsid w:val="005C611B"/>
    <w:rsid w:val="005D0564"/>
    <w:rsid w:val="005D1644"/>
    <w:rsid w:val="005D41E6"/>
    <w:rsid w:val="005D7BAE"/>
    <w:rsid w:val="005D7CDE"/>
    <w:rsid w:val="005E03E6"/>
    <w:rsid w:val="005E1900"/>
    <w:rsid w:val="005E1E22"/>
    <w:rsid w:val="005E3462"/>
    <w:rsid w:val="005F3D23"/>
    <w:rsid w:val="005F4A24"/>
    <w:rsid w:val="005F5313"/>
    <w:rsid w:val="00601293"/>
    <w:rsid w:val="00604DA1"/>
    <w:rsid w:val="006069A9"/>
    <w:rsid w:val="0061359A"/>
    <w:rsid w:val="0061500E"/>
    <w:rsid w:val="00616C87"/>
    <w:rsid w:val="0061795A"/>
    <w:rsid w:val="00621CA9"/>
    <w:rsid w:val="00622A3C"/>
    <w:rsid w:val="006232F8"/>
    <w:rsid w:val="0063111F"/>
    <w:rsid w:val="00632CAD"/>
    <w:rsid w:val="00633560"/>
    <w:rsid w:val="00634F33"/>
    <w:rsid w:val="0063527A"/>
    <w:rsid w:val="006357E3"/>
    <w:rsid w:val="00643DE8"/>
    <w:rsid w:val="006453E5"/>
    <w:rsid w:val="00646D61"/>
    <w:rsid w:val="00650672"/>
    <w:rsid w:val="0065237F"/>
    <w:rsid w:val="00653765"/>
    <w:rsid w:val="00655A5D"/>
    <w:rsid w:val="006666A4"/>
    <w:rsid w:val="006671AD"/>
    <w:rsid w:val="006812F4"/>
    <w:rsid w:val="0068533E"/>
    <w:rsid w:val="006857EA"/>
    <w:rsid w:val="00685E00"/>
    <w:rsid w:val="006867A2"/>
    <w:rsid w:val="006877C2"/>
    <w:rsid w:val="00692AA6"/>
    <w:rsid w:val="00692EBE"/>
    <w:rsid w:val="00696DC5"/>
    <w:rsid w:val="006A066E"/>
    <w:rsid w:val="006A1BDD"/>
    <w:rsid w:val="006A3322"/>
    <w:rsid w:val="006A5DAD"/>
    <w:rsid w:val="006A7047"/>
    <w:rsid w:val="006B152B"/>
    <w:rsid w:val="006B228B"/>
    <w:rsid w:val="006B2307"/>
    <w:rsid w:val="006B274B"/>
    <w:rsid w:val="006B4F7A"/>
    <w:rsid w:val="006B51BD"/>
    <w:rsid w:val="006B61CC"/>
    <w:rsid w:val="006D0213"/>
    <w:rsid w:val="006D15CF"/>
    <w:rsid w:val="006D2C7F"/>
    <w:rsid w:val="006D3D96"/>
    <w:rsid w:val="006E0622"/>
    <w:rsid w:val="006E3F77"/>
    <w:rsid w:val="006E5AA2"/>
    <w:rsid w:val="006E6EE5"/>
    <w:rsid w:val="006E75BF"/>
    <w:rsid w:val="006F049C"/>
    <w:rsid w:val="006F1EFA"/>
    <w:rsid w:val="006F56D4"/>
    <w:rsid w:val="006F5FAE"/>
    <w:rsid w:val="006F6367"/>
    <w:rsid w:val="006F7182"/>
    <w:rsid w:val="00702429"/>
    <w:rsid w:val="00702783"/>
    <w:rsid w:val="007057A5"/>
    <w:rsid w:val="00706752"/>
    <w:rsid w:val="0071111B"/>
    <w:rsid w:val="0071238B"/>
    <w:rsid w:val="0071276B"/>
    <w:rsid w:val="00714663"/>
    <w:rsid w:val="007161DC"/>
    <w:rsid w:val="007169F9"/>
    <w:rsid w:val="00716CDB"/>
    <w:rsid w:val="00721E2C"/>
    <w:rsid w:val="00723643"/>
    <w:rsid w:val="00723A57"/>
    <w:rsid w:val="00732315"/>
    <w:rsid w:val="00735413"/>
    <w:rsid w:val="007425A7"/>
    <w:rsid w:val="00744BD7"/>
    <w:rsid w:val="007504AD"/>
    <w:rsid w:val="00751522"/>
    <w:rsid w:val="0075184E"/>
    <w:rsid w:val="00752508"/>
    <w:rsid w:val="00760A57"/>
    <w:rsid w:val="00764670"/>
    <w:rsid w:val="0076727E"/>
    <w:rsid w:val="00771546"/>
    <w:rsid w:val="00771583"/>
    <w:rsid w:val="00775818"/>
    <w:rsid w:val="00777E70"/>
    <w:rsid w:val="00783633"/>
    <w:rsid w:val="00783A55"/>
    <w:rsid w:val="00787039"/>
    <w:rsid w:val="007903F2"/>
    <w:rsid w:val="00791763"/>
    <w:rsid w:val="00793975"/>
    <w:rsid w:val="0079401B"/>
    <w:rsid w:val="00797191"/>
    <w:rsid w:val="007A057D"/>
    <w:rsid w:val="007A3BA6"/>
    <w:rsid w:val="007A6575"/>
    <w:rsid w:val="007A6DE2"/>
    <w:rsid w:val="007B15DD"/>
    <w:rsid w:val="007B1927"/>
    <w:rsid w:val="007B4480"/>
    <w:rsid w:val="007B57A0"/>
    <w:rsid w:val="007B5BFA"/>
    <w:rsid w:val="007B725F"/>
    <w:rsid w:val="007C3ACB"/>
    <w:rsid w:val="007C4BEF"/>
    <w:rsid w:val="007C5158"/>
    <w:rsid w:val="007D3A81"/>
    <w:rsid w:val="007D499C"/>
    <w:rsid w:val="007D636E"/>
    <w:rsid w:val="007D6956"/>
    <w:rsid w:val="007D7492"/>
    <w:rsid w:val="007E0C1E"/>
    <w:rsid w:val="007E4FA9"/>
    <w:rsid w:val="007E6C12"/>
    <w:rsid w:val="007F41E3"/>
    <w:rsid w:val="007F5072"/>
    <w:rsid w:val="007F64C8"/>
    <w:rsid w:val="0080012C"/>
    <w:rsid w:val="0080018D"/>
    <w:rsid w:val="00800A89"/>
    <w:rsid w:val="0080185C"/>
    <w:rsid w:val="008041AF"/>
    <w:rsid w:val="00804661"/>
    <w:rsid w:val="00804C56"/>
    <w:rsid w:val="00805A98"/>
    <w:rsid w:val="00806687"/>
    <w:rsid w:val="00815ED5"/>
    <w:rsid w:val="0081750D"/>
    <w:rsid w:val="00820FB1"/>
    <w:rsid w:val="00822552"/>
    <w:rsid w:val="00822880"/>
    <w:rsid w:val="0082315E"/>
    <w:rsid w:val="00823B39"/>
    <w:rsid w:val="00825D61"/>
    <w:rsid w:val="00834BF8"/>
    <w:rsid w:val="00837A18"/>
    <w:rsid w:val="008438C0"/>
    <w:rsid w:val="00843BB0"/>
    <w:rsid w:val="00844A5D"/>
    <w:rsid w:val="008460D6"/>
    <w:rsid w:val="0084619A"/>
    <w:rsid w:val="00846B50"/>
    <w:rsid w:val="00850C56"/>
    <w:rsid w:val="00862147"/>
    <w:rsid w:val="008621DF"/>
    <w:rsid w:val="00863F25"/>
    <w:rsid w:val="00864519"/>
    <w:rsid w:val="00870B45"/>
    <w:rsid w:val="00871B85"/>
    <w:rsid w:val="008728A0"/>
    <w:rsid w:val="00872C8A"/>
    <w:rsid w:val="00873A47"/>
    <w:rsid w:val="00873ED2"/>
    <w:rsid w:val="00874ECD"/>
    <w:rsid w:val="0087674C"/>
    <w:rsid w:val="0087697E"/>
    <w:rsid w:val="008818A4"/>
    <w:rsid w:val="00881D09"/>
    <w:rsid w:val="00883248"/>
    <w:rsid w:val="00884519"/>
    <w:rsid w:val="0088502C"/>
    <w:rsid w:val="00885577"/>
    <w:rsid w:val="008874C9"/>
    <w:rsid w:val="00887C3E"/>
    <w:rsid w:val="0089098D"/>
    <w:rsid w:val="00891918"/>
    <w:rsid w:val="00891D84"/>
    <w:rsid w:val="008935BF"/>
    <w:rsid w:val="00894DF4"/>
    <w:rsid w:val="008A0504"/>
    <w:rsid w:val="008A079D"/>
    <w:rsid w:val="008A6903"/>
    <w:rsid w:val="008A6CB4"/>
    <w:rsid w:val="008A7D5D"/>
    <w:rsid w:val="008B2AFF"/>
    <w:rsid w:val="008B3195"/>
    <w:rsid w:val="008B6835"/>
    <w:rsid w:val="008C1150"/>
    <w:rsid w:val="008C16E8"/>
    <w:rsid w:val="008D0D2A"/>
    <w:rsid w:val="008D113A"/>
    <w:rsid w:val="008D2012"/>
    <w:rsid w:val="008D351B"/>
    <w:rsid w:val="008D5AD4"/>
    <w:rsid w:val="008D720E"/>
    <w:rsid w:val="008D7CE9"/>
    <w:rsid w:val="008E00A3"/>
    <w:rsid w:val="008E06E1"/>
    <w:rsid w:val="008E1505"/>
    <w:rsid w:val="008E177B"/>
    <w:rsid w:val="008E264E"/>
    <w:rsid w:val="008E2D09"/>
    <w:rsid w:val="008E329D"/>
    <w:rsid w:val="008F1612"/>
    <w:rsid w:val="008F236F"/>
    <w:rsid w:val="008F6889"/>
    <w:rsid w:val="008F7F5E"/>
    <w:rsid w:val="00902584"/>
    <w:rsid w:val="0091628F"/>
    <w:rsid w:val="00917029"/>
    <w:rsid w:val="009170DF"/>
    <w:rsid w:val="00925FAE"/>
    <w:rsid w:val="00927A64"/>
    <w:rsid w:val="00927E91"/>
    <w:rsid w:val="0093022A"/>
    <w:rsid w:val="0093134A"/>
    <w:rsid w:val="00932285"/>
    <w:rsid w:val="009331DB"/>
    <w:rsid w:val="00933499"/>
    <w:rsid w:val="0093396C"/>
    <w:rsid w:val="0093410F"/>
    <w:rsid w:val="0093511D"/>
    <w:rsid w:val="0094145F"/>
    <w:rsid w:val="00941A96"/>
    <w:rsid w:val="009426FF"/>
    <w:rsid w:val="00944D2E"/>
    <w:rsid w:val="00944FC4"/>
    <w:rsid w:val="009469C3"/>
    <w:rsid w:val="009542D9"/>
    <w:rsid w:val="00954418"/>
    <w:rsid w:val="00957515"/>
    <w:rsid w:val="00960043"/>
    <w:rsid w:val="0096272D"/>
    <w:rsid w:val="00966F8E"/>
    <w:rsid w:val="009728FE"/>
    <w:rsid w:val="00972C82"/>
    <w:rsid w:val="00973AC4"/>
    <w:rsid w:val="0097539E"/>
    <w:rsid w:val="00976BCF"/>
    <w:rsid w:val="00985AA5"/>
    <w:rsid w:val="00986E42"/>
    <w:rsid w:val="00986E5B"/>
    <w:rsid w:val="00991567"/>
    <w:rsid w:val="00992E29"/>
    <w:rsid w:val="00995FCA"/>
    <w:rsid w:val="00996CDA"/>
    <w:rsid w:val="0099730C"/>
    <w:rsid w:val="009A020A"/>
    <w:rsid w:val="009A4036"/>
    <w:rsid w:val="009B076F"/>
    <w:rsid w:val="009B1D7D"/>
    <w:rsid w:val="009B1F20"/>
    <w:rsid w:val="009B4824"/>
    <w:rsid w:val="009B7139"/>
    <w:rsid w:val="009C322D"/>
    <w:rsid w:val="009C3FE8"/>
    <w:rsid w:val="009C4E4B"/>
    <w:rsid w:val="009C5219"/>
    <w:rsid w:val="009C5E9D"/>
    <w:rsid w:val="009C792E"/>
    <w:rsid w:val="009D145F"/>
    <w:rsid w:val="009E25F5"/>
    <w:rsid w:val="009E6809"/>
    <w:rsid w:val="009F04D8"/>
    <w:rsid w:val="009F347B"/>
    <w:rsid w:val="009F44CC"/>
    <w:rsid w:val="009F6447"/>
    <w:rsid w:val="009F6A42"/>
    <w:rsid w:val="00A00203"/>
    <w:rsid w:val="00A023B9"/>
    <w:rsid w:val="00A04720"/>
    <w:rsid w:val="00A11EA4"/>
    <w:rsid w:val="00A127D9"/>
    <w:rsid w:val="00A15461"/>
    <w:rsid w:val="00A21552"/>
    <w:rsid w:val="00A24378"/>
    <w:rsid w:val="00A258A5"/>
    <w:rsid w:val="00A31885"/>
    <w:rsid w:val="00A332AE"/>
    <w:rsid w:val="00A357C8"/>
    <w:rsid w:val="00A37362"/>
    <w:rsid w:val="00A41516"/>
    <w:rsid w:val="00A42ECF"/>
    <w:rsid w:val="00A46606"/>
    <w:rsid w:val="00A50405"/>
    <w:rsid w:val="00A509B6"/>
    <w:rsid w:val="00A53FC6"/>
    <w:rsid w:val="00A54C3B"/>
    <w:rsid w:val="00A5752F"/>
    <w:rsid w:val="00A57923"/>
    <w:rsid w:val="00A579EE"/>
    <w:rsid w:val="00A60EC3"/>
    <w:rsid w:val="00A634BA"/>
    <w:rsid w:val="00A644B0"/>
    <w:rsid w:val="00A65264"/>
    <w:rsid w:val="00A65BA6"/>
    <w:rsid w:val="00A70545"/>
    <w:rsid w:val="00A72963"/>
    <w:rsid w:val="00A73082"/>
    <w:rsid w:val="00A77288"/>
    <w:rsid w:val="00A82E03"/>
    <w:rsid w:val="00A83D2E"/>
    <w:rsid w:val="00A8642D"/>
    <w:rsid w:val="00A86B5C"/>
    <w:rsid w:val="00A875C6"/>
    <w:rsid w:val="00A90AB9"/>
    <w:rsid w:val="00A91EDE"/>
    <w:rsid w:val="00A938DB"/>
    <w:rsid w:val="00A95B8B"/>
    <w:rsid w:val="00A966F3"/>
    <w:rsid w:val="00AA073E"/>
    <w:rsid w:val="00AA0BAC"/>
    <w:rsid w:val="00AA3BBF"/>
    <w:rsid w:val="00AA77EE"/>
    <w:rsid w:val="00AA794C"/>
    <w:rsid w:val="00AB074D"/>
    <w:rsid w:val="00AB1AE2"/>
    <w:rsid w:val="00AB3AD2"/>
    <w:rsid w:val="00AB4A0F"/>
    <w:rsid w:val="00AC44F5"/>
    <w:rsid w:val="00AC653B"/>
    <w:rsid w:val="00AC6CCE"/>
    <w:rsid w:val="00AD178B"/>
    <w:rsid w:val="00AD20F2"/>
    <w:rsid w:val="00AD5800"/>
    <w:rsid w:val="00AD5A74"/>
    <w:rsid w:val="00AE558F"/>
    <w:rsid w:val="00AE6AE1"/>
    <w:rsid w:val="00AE6BE7"/>
    <w:rsid w:val="00AF14B1"/>
    <w:rsid w:val="00AF2576"/>
    <w:rsid w:val="00AF5C70"/>
    <w:rsid w:val="00AF74CC"/>
    <w:rsid w:val="00AF7B02"/>
    <w:rsid w:val="00B035B6"/>
    <w:rsid w:val="00B0566B"/>
    <w:rsid w:val="00B128D8"/>
    <w:rsid w:val="00B149F0"/>
    <w:rsid w:val="00B226E2"/>
    <w:rsid w:val="00B22B54"/>
    <w:rsid w:val="00B22C23"/>
    <w:rsid w:val="00B22D76"/>
    <w:rsid w:val="00B2487D"/>
    <w:rsid w:val="00B267F9"/>
    <w:rsid w:val="00B33094"/>
    <w:rsid w:val="00B357BB"/>
    <w:rsid w:val="00B4029B"/>
    <w:rsid w:val="00B4044B"/>
    <w:rsid w:val="00B40F92"/>
    <w:rsid w:val="00B40FD2"/>
    <w:rsid w:val="00B444E3"/>
    <w:rsid w:val="00B45CCC"/>
    <w:rsid w:val="00B462F7"/>
    <w:rsid w:val="00B50669"/>
    <w:rsid w:val="00B52264"/>
    <w:rsid w:val="00B5420A"/>
    <w:rsid w:val="00B56108"/>
    <w:rsid w:val="00B563BF"/>
    <w:rsid w:val="00B56904"/>
    <w:rsid w:val="00B60F6B"/>
    <w:rsid w:val="00B61420"/>
    <w:rsid w:val="00B61AC3"/>
    <w:rsid w:val="00B63317"/>
    <w:rsid w:val="00B63C4D"/>
    <w:rsid w:val="00B651BA"/>
    <w:rsid w:val="00B65A03"/>
    <w:rsid w:val="00B66000"/>
    <w:rsid w:val="00B70363"/>
    <w:rsid w:val="00B73549"/>
    <w:rsid w:val="00B73C71"/>
    <w:rsid w:val="00B75995"/>
    <w:rsid w:val="00B77F37"/>
    <w:rsid w:val="00B826E2"/>
    <w:rsid w:val="00B82887"/>
    <w:rsid w:val="00B8387A"/>
    <w:rsid w:val="00B84701"/>
    <w:rsid w:val="00B8520E"/>
    <w:rsid w:val="00B870EC"/>
    <w:rsid w:val="00B87223"/>
    <w:rsid w:val="00B95570"/>
    <w:rsid w:val="00BA2F7D"/>
    <w:rsid w:val="00BB00D4"/>
    <w:rsid w:val="00BB0713"/>
    <w:rsid w:val="00BB18DC"/>
    <w:rsid w:val="00BB1D92"/>
    <w:rsid w:val="00BB22DD"/>
    <w:rsid w:val="00BB25DC"/>
    <w:rsid w:val="00BB4BE7"/>
    <w:rsid w:val="00BB5418"/>
    <w:rsid w:val="00BB5D90"/>
    <w:rsid w:val="00BB5F14"/>
    <w:rsid w:val="00BB6185"/>
    <w:rsid w:val="00BC1A60"/>
    <w:rsid w:val="00BC2623"/>
    <w:rsid w:val="00BC2749"/>
    <w:rsid w:val="00BC304A"/>
    <w:rsid w:val="00BC67C2"/>
    <w:rsid w:val="00BC767B"/>
    <w:rsid w:val="00BC7B4C"/>
    <w:rsid w:val="00BD10E4"/>
    <w:rsid w:val="00BD29D6"/>
    <w:rsid w:val="00BD3CAA"/>
    <w:rsid w:val="00BD4B26"/>
    <w:rsid w:val="00BD680E"/>
    <w:rsid w:val="00BE02BF"/>
    <w:rsid w:val="00BE450F"/>
    <w:rsid w:val="00BE520C"/>
    <w:rsid w:val="00BE5280"/>
    <w:rsid w:val="00BF2E22"/>
    <w:rsid w:val="00BF74BE"/>
    <w:rsid w:val="00C046E0"/>
    <w:rsid w:val="00C05098"/>
    <w:rsid w:val="00C075D0"/>
    <w:rsid w:val="00C1094F"/>
    <w:rsid w:val="00C12FAB"/>
    <w:rsid w:val="00C1308F"/>
    <w:rsid w:val="00C20078"/>
    <w:rsid w:val="00C204BA"/>
    <w:rsid w:val="00C210AC"/>
    <w:rsid w:val="00C2169B"/>
    <w:rsid w:val="00C22246"/>
    <w:rsid w:val="00C22D23"/>
    <w:rsid w:val="00C22D63"/>
    <w:rsid w:val="00C23921"/>
    <w:rsid w:val="00C25005"/>
    <w:rsid w:val="00C25A36"/>
    <w:rsid w:val="00C263BF"/>
    <w:rsid w:val="00C307B2"/>
    <w:rsid w:val="00C30A49"/>
    <w:rsid w:val="00C34834"/>
    <w:rsid w:val="00C4061C"/>
    <w:rsid w:val="00C4139B"/>
    <w:rsid w:val="00C45B2A"/>
    <w:rsid w:val="00C46286"/>
    <w:rsid w:val="00C526C7"/>
    <w:rsid w:val="00C537DB"/>
    <w:rsid w:val="00C53883"/>
    <w:rsid w:val="00C550F8"/>
    <w:rsid w:val="00C55FEE"/>
    <w:rsid w:val="00C63615"/>
    <w:rsid w:val="00C64541"/>
    <w:rsid w:val="00C667FD"/>
    <w:rsid w:val="00C67F49"/>
    <w:rsid w:val="00C70291"/>
    <w:rsid w:val="00C72B14"/>
    <w:rsid w:val="00C738A8"/>
    <w:rsid w:val="00C73922"/>
    <w:rsid w:val="00C756EE"/>
    <w:rsid w:val="00C76371"/>
    <w:rsid w:val="00C77016"/>
    <w:rsid w:val="00C770EB"/>
    <w:rsid w:val="00C77BB4"/>
    <w:rsid w:val="00C8072E"/>
    <w:rsid w:val="00C812CD"/>
    <w:rsid w:val="00C821C0"/>
    <w:rsid w:val="00C851FD"/>
    <w:rsid w:val="00C85F08"/>
    <w:rsid w:val="00C863A0"/>
    <w:rsid w:val="00C8730B"/>
    <w:rsid w:val="00C934C7"/>
    <w:rsid w:val="00C937B7"/>
    <w:rsid w:val="00C93A17"/>
    <w:rsid w:val="00C93B9C"/>
    <w:rsid w:val="00C957BC"/>
    <w:rsid w:val="00C9673D"/>
    <w:rsid w:val="00CA2EF1"/>
    <w:rsid w:val="00CA338F"/>
    <w:rsid w:val="00CA3F4B"/>
    <w:rsid w:val="00CB49EE"/>
    <w:rsid w:val="00CB4B50"/>
    <w:rsid w:val="00CB4F59"/>
    <w:rsid w:val="00CB5E4F"/>
    <w:rsid w:val="00CC4912"/>
    <w:rsid w:val="00CC69FF"/>
    <w:rsid w:val="00CC7A6F"/>
    <w:rsid w:val="00CC7D2C"/>
    <w:rsid w:val="00CD2B3A"/>
    <w:rsid w:val="00CD778F"/>
    <w:rsid w:val="00CE2F09"/>
    <w:rsid w:val="00CE4AF2"/>
    <w:rsid w:val="00CE655B"/>
    <w:rsid w:val="00D015F1"/>
    <w:rsid w:val="00D0430A"/>
    <w:rsid w:val="00D10E89"/>
    <w:rsid w:val="00D12782"/>
    <w:rsid w:val="00D135C9"/>
    <w:rsid w:val="00D1403E"/>
    <w:rsid w:val="00D158C5"/>
    <w:rsid w:val="00D173AF"/>
    <w:rsid w:val="00D23612"/>
    <w:rsid w:val="00D268FB"/>
    <w:rsid w:val="00D276A2"/>
    <w:rsid w:val="00D305A7"/>
    <w:rsid w:val="00D34EC6"/>
    <w:rsid w:val="00D362AB"/>
    <w:rsid w:val="00D37256"/>
    <w:rsid w:val="00D40C42"/>
    <w:rsid w:val="00D4283F"/>
    <w:rsid w:val="00D4683C"/>
    <w:rsid w:val="00D47414"/>
    <w:rsid w:val="00D507EA"/>
    <w:rsid w:val="00D52A07"/>
    <w:rsid w:val="00D55659"/>
    <w:rsid w:val="00D56D12"/>
    <w:rsid w:val="00D62A0D"/>
    <w:rsid w:val="00D64AAA"/>
    <w:rsid w:val="00D64EBC"/>
    <w:rsid w:val="00D701F8"/>
    <w:rsid w:val="00D71E22"/>
    <w:rsid w:val="00D738A0"/>
    <w:rsid w:val="00D748E5"/>
    <w:rsid w:val="00D763B7"/>
    <w:rsid w:val="00D800DF"/>
    <w:rsid w:val="00D81111"/>
    <w:rsid w:val="00D83B8F"/>
    <w:rsid w:val="00D86872"/>
    <w:rsid w:val="00D8755F"/>
    <w:rsid w:val="00D90084"/>
    <w:rsid w:val="00D90E91"/>
    <w:rsid w:val="00D94DC5"/>
    <w:rsid w:val="00D959DC"/>
    <w:rsid w:val="00D966A3"/>
    <w:rsid w:val="00DA0DBF"/>
    <w:rsid w:val="00DA0F44"/>
    <w:rsid w:val="00DA38E4"/>
    <w:rsid w:val="00DA643F"/>
    <w:rsid w:val="00DA7604"/>
    <w:rsid w:val="00DB1C91"/>
    <w:rsid w:val="00DC0613"/>
    <w:rsid w:val="00DD2674"/>
    <w:rsid w:val="00DD2D6C"/>
    <w:rsid w:val="00DD2DD5"/>
    <w:rsid w:val="00DD42EC"/>
    <w:rsid w:val="00DD464A"/>
    <w:rsid w:val="00DD5458"/>
    <w:rsid w:val="00DD5B99"/>
    <w:rsid w:val="00DD6BA2"/>
    <w:rsid w:val="00DE0DB8"/>
    <w:rsid w:val="00DE2489"/>
    <w:rsid w:val="00DE395C"/>
    <w:rsid w:val="00DE3C41"/>
    <w:rsid w:val="00DE3CC4"/>
    <w:rsid w:val="00DE3EA9"/>
    <w:rsid w:val="00DE73EA"/>
    <w:rsid w:val="00DE773E"/>
    <w:rsid w:val="00DE7E24"/>
    <w:rsid w:val="00DF30FF"/>
    <w:rsid w:val="00DF72BA"/>
    <w:rsid w:val="00DF76C4"/>
    <w:rsid w:val="00DF7D1F"/>
    <w:rsid w:val="00E039D7"/>
    <w:rsid w:val="00E0496D"/>
    <w:rsid w:val="00E05AE1"/>
    <w:rsid w:val="00E06B43"/>
    <w:rsid w:val="00E12444"/>
    <w:rsid w:val="00E13F2B"/>
    <w:rsid w:val="00E157D2"/>
    <w:rsid w:val="00E20FDC"/>
    <w:rsid w:val="00E21383"/>
    <w:rsid w:val="00E2140B"/>
    <w:rsid w:val="00E218E5"/>
    <w:rsid w:val="00E2740C"/>
    <w:rsid w:val="00E27435"/>
    <w:rsid w:val="00E330F5"/>
    <w:rsid w:val="00E3346B"/>
    <w:rsid w:val="00E3417B"/>
    <w:rsid w:val="00E3797A"/>
    <w:rsid w:val="00E4705F"/>
    <w:rsid w:val="00E47803"/>
    <w:rsid w:val="00E47B69"/>
    <w:rsid w:val="00E53B94"/>
    <w:rsid w:val="00E543FC"/>
    <w:rsid w:val="00E547B0"/>
    <w:rsid w:val="00E6038C"/>
    <w:rsid w:val="00E60BB7"/>
    <w:rsid w:val="00E61840"/>
    <w:rsid w:val="00E61C0B"/>
    <w:rsid w:val="00E63317"/>
    <w:rsid w:val="00E73EC3"/>
    <w:rsid w:val="00E74396"/>
    <w:rsid w:val="00E75202"/>
    <w:rsid w:val="00E771AD"/>
    <w:rsid w:val="00E81F9D"/>
    <w:rsid w:val="00E84E09"/>
    <w:rsid w:val="00E87CB1"/>
    <w:rsid w:val="00E91BCE"/>
    <w:rsid w:val="00E9240A"/>
    <w:rsid w:val="00E93DE2"/>
    <w:rsid w:val="00E96773"/>
    <w:rsid w:val="00EA0B8B"/>
    <w:rsid w:val="00EA294F"/>
    <w:rsid w:val="00EA2994"/>
    <w:rsid w:val="00EA42FB"/>
    <w:rsid w:val="00EB4714"/>
    <w:rsid w:val="00EB5331"/>
    <w:rsid w:val="00EB6547"/>
    <w:rsid w:val="00EC3430"/>
    <w:rsid w:val="00EC3699"/>
    <w:rsid w:val="00EC3E20"/>
    <w:rsid w:val="00EC443D"/>
    <w:rsid w:val="00EC5E1F"/>
    <w:rsid w:val="00EC5EF1"/>
    <w:rsid w:val="00EC6626"/>
    <w:rsid w:val="00ED3241"/>
    <w:rsid w:val="00ED524E"/>
    <w:rsid w:val="00ED6911"/>
    <w:rsid w:val="00ED6AE2"/>
    <w:rsid w:val="00ED725A"/>
    <w:rsid w:val="00EE1A26"/>
    <w:rsid w:val="00EE1CB8"/>
    <w:rsid w:val="00EE35E8"/>
    <w:rsid w:val="00EE63AD"/>
    <w:rsid w:val="00EE663A"/>
    <w:rsid w:val="00EF24B1"/>
    <w:rsid w:val="00EF505C"/>
    <w:rsid w:val="00EF53B9"/>
    <w:rsid w:val="00EF641A"/>
    <w:rsid w:val="00F02B10"/>
    <w:rsid w:val="00F02B50"/>
    <w:rsid w:val="00F0302F"/>
    <w:rsid w:val="00F035BA"/>
    <w:rsid w:val="00F05929"/>
    <w:rsid w:val="00F06790"/>
    <w:rsid w:val="00F07ACB"/>
    <w:rsid w:val="00F10EA2"/>
    <w:rsid w:val="00F15979"/>
    <w:rsid w:val="00F16FA4"/>
    <w:rsid w:val="00F2119D"/>
    <w:rsid w:val="00F238A4"/>
    <w:rsid w:val="00F23FE8"/>
    <w:rsid w:val="00F2648D"/>
    <w:rsid w:val="00F277F4"/>
    <w:rsid w:val="00F35598"/>
    <w:rsid w:val="00F36058"/>
    <w:rsid w:val="00F3689C"/>
    <w:rsid w:val="00F36C76"/>
    <w:rsid w:val="00F37456"/>
    <w:rsid w:val="00F37FF6"/>
    <w:rsid w:val="00F416A2"/>
    <w:rsid w:val="00F42308"/>
    <w:rsid w:val="00F4314D"/>
    <w:rsid w:val="00F43717"/>
    <w:rsid w:val="00F46CBD"/>
    <w:rsid w:val="00F47664"/>
    <w:rsid w:val="00F51605"/>
    <w:rsid w:val="00F52C1D"/>
    <w:rsid w:val="00F52D64"/>
    <w:rsid w:val="00F53A68"/>
    <w:rsid w:val="00F5463E"/>
    <w:rsid w:val="00F54BFD"/>
    <w:rsid w:val="00F55CB4"/>
    <w:rsid w:val="00F55FDC"/>
    <w:rsid w:val="00F561DA"/>
    <w:rsid w:val="00F640C3"/>
    <w:rsid w:val="00F67B56"/>
    <w:rsid w:val="00F727D0"/>
    <w:rsid w:val="00F72A4A"/>
    <w:rsid w:val="00F72E68"/>
    <w:rsid w:val="00F74080"/>
    <w:rsid w:val="00F7479D"/>
    <w:rsid w:val="00F840C0"/>
    <w:rsid w:val="00F85182"/>
    <w:rsid w:val="00F90635"/>
    <w:rsid w:val="00F93874"/>
    <w:rsid w:val="00F94304"/>
    <w:rsid w:val="00F9538E"/>
    <w:rsid w:val="00F95EDA"/>
    <w:rsid w:val="00F9624B"/>
    <w:rsid w:val="00F96785"/>
    <w:rsid w:val="00FA00F6"/>
    <w:rsid w:val="00FA023A"/>
    <w:rsid w:val="00FA04D6"/>
    <w:rsid w:val="00FA0D26"/>
    <w:rsid w:val="00FA12A3"/>
    <w:rsid w:val="00FA1BC0"/>
    <w:rsid w:val="00FA43EF"/>
    <w:rsid w:val="00FA4D36"/>
    <w:rsid w:val="00FA6407"/>
    <w:rsid w:val="00FA64EB"/>
    <w:rsid w:val="00FA7150"/>
    <w:rsid w:val="00FB086A"/>
    <w:rsid w:val="00FB0FD4"/>
    <w:rsid w:val="00FB12F4"/>
    <w:rsid w:val="00FB20EF"/>
    <w:rsid w:val="00FB3513"/>
    <w:rsid w:val="00FB7ED4"/>
    <w:rsid w:val="00FC06A8"/>
    <w:rsid w:val="00FC0949"/>
    <w:rsid w:val="00FC267D"/>
    <w:rsid w:val="00FC5F6E"/>
    <w:rsid w:val="00FC686C"/>
    <w:rsid w:val="00FD42D1"/>
    <w:rsid w:val="00FD76CD"/>
    <w:rsid w:val="00FE03D7"/>
    <w:rsid w:val="00FE05EF"/>
    <w:rsid w:val="00FE1BFF"/>
    <w:rsid w:val="00FE25E3"/>
    <w:rsid w:val="00FE4992"/>
    <w:rsid w:val="00FF5402"/>
    <w:rsid w:val="00FF5429"/>
    <w:rsid w:val="00FF6A44"/>
    <w:rsid w:val="00FF6BC6"/>
    <w:rsid w:val="00FF7576"/>
    <w:rsid w:val="018C5646"/>
    <w:rsid w:val="0193252E"/>
    <w:rsid w:val="02006D7B"/>
    <w:rsid w:val="03742268"/>
    <w:rsid w:val="03AA0E83"/>
    <w:rsid w:val="03BB07D4"/>
    <w:rsid w:val="03DF7153"/>
    <w:rsid w:val="03F10731"/>
    <w:rsid w:val="054A59A9"/>
    <w:rsid w:val="06771220"/>
    <w:rsid w:val="06836F68"/>
    <w:rsid w:val="06CC7A17"/>
    <w:rsid w:val="06DA20AB"/>
    <w:rsid w:val="07005B42"/>
    <w:rsid w:val="072254F3"/>
    <w:rsid w:val="072425BE"/>
    <w:rsid w:val="0744586F"/>
    <w:rsid w:val="074C7AB2"/>
    <w:rsid w:val="07AD1675"/>
    <w:rsid w:val="07C44C2D"/>
    <w:rsid w:val="08D7493C"/>
    <w:rsid w:val="08F463B5"/>
    <w:rsid w:val="09204F26"/>
    <w:rsid w:val="093A1A91"/>
    <w:rsid w:val="09794502"/>
    <w:rsid w:val="09A5638C"/>
    <w:rsid w:val="0A993E08"/>
    <w:rsid w:val="0BAD3893"/>
    <w:rsid w:val="0BFA1593"/>
    <w:rsid w:val="0C8428CA"/>
    <w:rsid w:val="0D024E94"/>
    <w:rsid w:val="0D1136B2"/>
    <w:rsid w:val="0D7574D1"/>
    <w:rsid w:val="0D910AE4"/>
    <w:rsid w:val="0E7E4396"/>
    <w:rsid w:val="0FA027E2"/>
    <w:rsid w:val="0FB81E14"/>
    <w:rsid w:val="0FEE6CA6"/>
    <w:rsid w:val="0FF7613B"/>
    <w:rsid w:val="105F5F1D"/>
    <w:rsid w:val="10A83BAE"/>
    <w:rsid w:val="11177735"/>
    <w:rsid w:val="11C41E3C"/>
    <w:rsid w:val="12D652CB"/>
    <w:rsid w:val="138156EB"/>
    <w:rsid w:val="13C0564A"/>
    <w:rsid w:val="146D4F41"/>
    <w:rsid w:val="153120B1"/>
    <w:rsid w:val="15E74A6A"/>
    <w:rsid w:val="15F91BC9"/>
    <w:rsid w:val="16DF10FF"/>
    <w:rsid w:val="170B715A"/>
    <w:rsid w:val="176A7DCA"/>
    <w:rsid w:val="18BC3BEE"/>
    <w:rsid w:val="18E83D5D"/>
    <w:rsid w:val="18F907A2"/>
    <w:rsid w:val="190F49C8"/>
    <w:rsid w:val="194D067B"/>
    <w:rsid w:val="19867F06"/>
    <w:rsid w:val="1A3E092A"/>
    <w:rsid w:val="1AA6416F"/>
    <w:rsid w:val="1AC07862"/>
    <w:rsid w:val="1B04079F"/>
    <w:rsid w:val="1B790C96"/>
    <w:rsid w:val="1B8459DE"/>
    <w:rsid w:val="1C131595"/>
    <w:rsid w:val="1C385685"/>
    <w:rsid w:val="1C396F30"/>
    <w:rsid w:val="1C5305F7"/>
    <w:rsid w:val="1CB43FA6"/>
    <w:rsid w:val="1CFD521C"/>
    <w:rsid w:val="1D267D5A"/>
    <w:rsid w:val="1D347270"/>
    <w:rsid w:val="1DA466DC"/>
    <w:rsid w:val="1DD4106C"/>
    <w:rsid w:val="1E547D9F"/>
    <w:rsid w:val="203E6EDB"/>
    <w:rsid w:val="20861511"/>
    <w:rsid w:val="23697CC8"/>
    <w:rsid w:val="237302F1"/>
    <w:rsid w:val="257942EB"/>
    <w:rsid w:val="25984CD9"/>
    <w:rsid w:val="25CD77E8"/>
    <w:rsid w:val="26103A51"/>
    <w:rsid w:val="263873D3"/>
    <w:rsid w:val="26690C0A"/>
    <w:rsid w:val="26E629EA"/>
    <w:rsid w:val="277B675F"/>
    <w:rsid w:val="2902306E"/>
    <w:rsid w:val="2918059F"/>
    <w:rsid w:val="295B2493"/>
    <w:rsid w:val="29C13E08"/>
    <w:rsid w:val="2B167E04"/>
    <w:rsid w:val="2C857C59"/>
    <w:rsid w:val="2C8E46F0"/>
    <w:rsid w:val="2D423FF4"/>
    <w:rsid w:val="2DD45EB0"/>
    <w:rsid w:val="2E361D9A"/>
    <w:rsid w:val="2EB943E9"/>
    <w:rsid w:val="2F2D4D51"/>
    <w:rsid w:val="2F5F4E91"/>
    <w:rsid w:val="2F881091"/>
    <w:rsid w:val="302532DE"/>
    <w:rsid w:val="30484EDA"/>
    <w:rsid w:val="305F514C"/>
    <w:rsid w:val="30713FAA"/>
    <w:rsid w:val="30F82541"/>
    <w:rsid w:val="31315269"/>
    <w:rsid w:val="31363E69"/>
    <w:rsid w:val="31700880"/>
    <w:rsid w:val="317834F4"/>
    <w:rsid w:val="31814413"/>
    <w:rsid w:val="32175317"/>
    <w:rsid w:val="32DF7EDA"/>
    <w:rsid w:val="33AC48F3"/>
    <w:rsid w:val="33B231CC"/>
    <w:rsid w:val="34083551"/>
    <w:rsid w:val="34223FE0"/>
    <w:rsid w:val="3444716D"/>
    <w:rsid w:val="345C6638"/>
    <w:rsid w:val="3504613E"/>
    <w:rsid w:val="355C773A"/>
    <w:rsid w:val="35AC2A07"/>
    <w:rsid w:val="365D46E8"/>
    <w:rsid w:val="36881E9C"/>
    <w:rsid w:val="36EB047B"/>
    <w:rsid w:val="37780AC4"/>
    <w:rsid w:val="382F43FF"/>
    <w:rsid w:val="384B24C6"/>
    <w:rsid w:val="38F269CA"/>
    <w:rsid w:val="3933086C"/>
    <w:rsid w:val="39931C6E"/>
    <w:rsid w:val="3A4C5000"/>
    <w:rsid w:val="3A537AF5"/>
    <w:rsid w:val="3B5B042D"/>
    <w:rsid w:val="3B70716C"/>
    <w:rsid w:val="3B742AA4"/>
    <w:rsid w:val="3C183E12"/>
    <w:rsid w:val="3D821A2F"/>
    <w:rsid w:val="3D94620D"/>
    <w:rsid w:val="3DB47D50"/>
    <w:rsid w:val="3DFD1DC7"/>
    <w:rsid w:val="3E3005A9"/>
    <w:rsid w:val="3E7F439D"/>
    <w:rsid w:val="3EDDBD4B"/>
    <w:rsid w:val="3F3A0501"/>
    <w:rsid w:val="3FE04271"/>
    <w:rsid w:val="40C10E8B"/>
    <w:rsid w:val="41087400"/>
    <w:rsid w:val="410E47C0"/>
    <w:rsid w:val="41AD38C0"/>
    <w:rsid w:val="43770F52"/>
    <w:rsid w:val="44B75CA6"/>
    <w:rsid w:val="44DE557A"/>
    <w:rsid w:val="455B07FD"/>
    <w:rsid w:val="46D636A4"/>
    <w:rsid w:val="46F11488"/>
    <w:rsid w:val="475B027C"/>
    <w:rsid w:val="48326008"/>
    <w:rsid w:val="496A6178"/>
    <w:rsid w:val="4A1A6B38"/>
    <w:rsid w:val="4B0E740A"/>
    <w:rsid w:val="4B7A6236"/>
    <w:rsid w:val="4C0243BB"/>
    <w:rsid w:val="4CAD158D"/>
    <w:rsid w:val="4D46669C"/>
    <w:rsid w:val="4DF015D8"/>
    <w:rsid w:val="4ECC2DBA"/>
    <w:rsid w:val="4F5C7AB2"/>
    <w:rsid w:val="4FA25E88"/>
    <w:rsid w:val="4FB56192"/>
    <w:rsid w:val="4FE26CF8"/>
    <w:rsid w:val="504C1BF5"/>
    <w:rsid w:val="505A740F"/>
    <w:rsid w:val="50F63177"/>
    <w:rsid w:val="51961DC3"/>
    <w:rsid w:val="528D5197"/>
    <w:rsid w:val="53DD4399"/>
    <w:rsid w:val="53FA7433"/>
    <w:rsid w:val="54292C2C"/>
    <w:rsid w:val="543E3B2A"/>
    <w:rsid w:val="5483544C"/>
    <w:rsid w:val="54A8410F"/>
    <w:rsid w:val="551F7455"/>
    <w:rsid w:val="55720690"/>
    <w:rsid w:val="56047C18"/>
    <w:rsid w:val="565E60FA"/>
    <w:rsid w:val="567773F2"/>
    <w:rsid w:val="56D43A36"/>
    <w:rsid w:val="57251B0F"/>
    <w:rsid w:val="585A4522"/>
    <w:rsid w:val="586133E0"/>
    <w:rsid w:val="591D2603"/>
    <w:rsid w:val="59567B5E"/>
    <w:rsid w:val="597B4CC2"/>
    <w:rsid w:val="59D33505"/>
    <w:rsid w:val="5A384BC6"/>
    <w:rsid w:val="5A7940E9"/>
    <w:rsid w:val="5AEB1060"/>
    <w:rsid w:val="5B101EC2"/>
    <w:rsid w:val="5B203FE6"/>
    <w:rsid w:val="5B212C80"/>
    <w:rsid w:val="5B791FD7"/>
    <w:rsid w:val="5C234098"/>
    <w:rsid w:val="5C411996"/>
    <w:rsid w:val="5D02194B"/>
    <w:rsid w:val="5D1A51CA"/>
    <w:rsid w:val="5D454200"/>
    <w:rsid w:val="5DB01E16"/>
    <w:rsid w:val="5E087785"/>
    <w:rsid w:val="5E742745"/>
    <w:rsid w:val="5E7C087C"/>
    <w:rsid w:val="5F6C698D"/>
    <w:rsid w:val="601334DB"/>
    <w:rsid w:val="60715786"/>
    <w:rsid w:val="611C343B"/>
    <w:rsid w:val="62C059CC"/>
    <w:rsid w:val="63673053"/>
    <w:rsid w:val="6445277D"/>
    <w:rsid w:val="64B40784"/>
    <w:rsid w:val="64CC674D"/>
    <w:rsid w:val="64F13AB4"/>
    <w:rsid w:val="65106CCF"/>
    <w:rsid w:val="658D402D"/>
    <w:rsid w:val="65CB0CC4"/>
    <w:rsid w:val="65CB7CA1"/>
    <w:rsid w:val="662E671F"/>
    <w:rsid w:val="66350B45"/>
    <w:rsid w:val="66454300"/>
    <w:rsid w:val="67EC6392"/>
    <w:rsid w:val="67F54A28"/>
    <w:rsid w:val="691F41D6"/>
    <w:rsid w:val="69B65860"/>
    <w:rsid w:val="69F2435E"/>
    <w:rsid w:val="6CB250B4"/>
    <w:rsid w:val="6CCF0F2F"/>
    <w:rsid w:val="6D20156F"/>
    <w:rsid w:val="6DAD169E"/>
    <w:rsid w:val="6DC0701B"/>
    <w:rsid w:val="6E281D6B"/>
    <w:rsid w:val="6E713564"/>
    <w:rsid w:val="6EF86A81"/>
    <w:rsid w:val="6FD63889"/>
    <w:rsid w:val="6FE950E2"/>
    <w:rsid w:val="70082092"/>
    <w:rsid w:val="701207F1"/>
    <w:rsid w:val="707F36ED"/>
    <w:rsid w:val="70E00D00"/>
    <w:rsid w:val="70E92174"/>
    <w:rsid w:val="71DC7877"/>
    <w:rsid w:val="721C1722"/>
    <w:rsid w:val="72500BAB"/>
    <w:rsid w:val="727947C3"/>
    <w:rsid w:val="72894C26"/>
    <w:rsid w:val="731B6A0B"/>
    <w:rsid w:val="7327239B"/>
    <w:rsid w:val="73542CEA"/>
    <w:rsid w:val="7367065A"/>
    <w:rsid w:val="736A2F28"/>
    <w:rsid w:val="737859EA"/>
    <w:rsid w:val="743430EF"/>
    <w:rsid w:val="747278C7"/>
    <w:rsid w:val="7501081E"/>
    <w:rsid w:val="75070260"/>
    <w:rsid w:val="75DF00E2"/>
    <w:rsid w:val="75E43490"/>
    <w:rsid w:val="77EB1FBF"/>
    <w:rsid w:val="77FC6E50"/>
    <w:rsid w:val="782212B8"/>
    <w:rsid w:val="79142175"/>
    <w:rsid w:val="796E095F"/>
    <w:rsid w:val="7A181004"/>
    <w:rsid w:val="7A5C5E8D"/>
    <w:rsid w:val="7AD445AD"/>
    <w:rsid w:val="7AF25373"/>
    <w:rsid w:val="7B4B4AD2"/>
    <w:rsid w:val="7B5C1E90"/>
    <w:rsid w:val="7B651222"/>
    <w:rsid w:val="7B76154F"/>
    <w:rsid w:val="7BCB1F90"/>
    <w:rsid w:val="7C053A6F"/>
    <w:rsid w:val="7C4E5F95"/>
    <w:rsid w:val="7DAE25CD"/>
    <w:rsid w:val="7E49092D"/>
    <w:rsid w:val="7E8A2E55"/>
    <w:rsid w:val="7FCF33F1"/>
    <w:rsid w:val="BFDD6A70"/>
    <w:rsid w:val="F75BEDC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3">
    <w:name w:val="heading 2"/>
    <w:basedOn w:val="1"/>
    <w:next w:val="1"/>
    <w:link w:val="56"/>
    <w:unhideWhenUsed/>
    <w:qFormat/>
    <w:uiPriority w:val="9"/>
    <w:pPr>
      <w:keepNext/>
      <w:keepLines/>
      <w:spacing w:line="413" w:lineRule="auto"/>
      <w:outlineLvl w:val="1"/>
    </w:pPr>
    <w:rPr>
      <w:rFonts w:ascii="Arial" w:hAnsi="Arial" w:eastAsia="黑体"/>
      <w:b/>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仿宋" w:hAnsi="仿宋" w:eastAsia="仿宋" w:cs="仿宋"/>
      <w:sz w:val="31"/>
      <w:szCs w:val="31"/>
      <w:lang w:eastAsia="en-US"/>
    </w:rPr>
  </w:style>
  <w:style w:type="paragraph" w:styleId="4">
    <w:name w:val="Normal Indent"/>
    <w:basedOn w:val="1"/>
    <w:qFormat/>
    <w:uiPriority w:val="0"/>
    <w:pPr>
      <w:ind w:firstLine="420"/>
    </w:pPr>
    <w:rPr>
      <w:rFonts w:eastAsia="宋体"/>
    </w:rPr>
  </w:style>
  <w:style w:type="paragraph" w:styleId="5">
    <w:name w:val="Body Text Indent"/>
    <w:basedOn w:val="1"/>
    <w:link w:val="50"/>
    <w:qFormat/>
    <w:uiPriority w:val="0"/>
    <w:pPr>
      <w:spacing w:after="120"/>
      <w:ind w:left="420" w:leftChars="200"/>
    </w:pPr>
  </w:style>
  <w:style w:type="paragraph" w:styleId="6">
    <w:name w:val="Date"/>
    <w:basedOn w:val="1"/>
    <w:next w:val="1"/>
    <w:qFormat/>
    <w:uiPriority w:val="0"/>
    <w:pPr>
      <w:ind w:left="100" w:leftChars="2500"/>
    </w:pPr>
  </w:style>
  <w:style w:type="paragraph" w:styleId="7">
    <w:name w:val="Balloon Text"/>
    <w:basedOn w:val="1"/>
    <w:semiHidden/>
    <w:qFormat/>
    <w:uiPriority w:val="0"/>
    <w:rPr>
      <w:sz w:val="18"/>
      <w:szCs w:val="18"/>
    </w:rPr>
  </w:style>
  <w:style w:type="paragraph" w:styleId="8">
    <w:name w:val="footer"/>
    <w:basedOn w:val="1"/>
    <w:link w:val="45"/>
    <w:qFormat/>
    <w:uiPriority w:val="99"/>
    <w:pPr>
      <w:tabs>
        <w:tab w:val="center" w:pos="4153"/>
        <w:tab w:val="right" w:pos="8306"/>
      </w:tabs>
      <w:snapToGrid w:val="0"/>
      <w:jc w:val="left"/>
    </w:pPr>
    <w:rPr>
      <w:sz w:val="18"/>
    </w:rPr>
  </w:style>
  <w:style w:type="paragraph" w:styleId="9">
    <w:name w:val="header"/>
    <w:basedOn w:val="1"/>
    <w:link w:val="44"/>
    <w:qFormat/>
    <w:uiPriority w:val="99"/>
    <w:pPr>
      <w:pBdr>
        <w:bottom w:val="single" w:color="auto" w:sz="6" w:space="1"/>
      </w:pBdr>
      <w:tabs>
        <w:tab w:val="center" w:pos="4153"/>
        <w:tab w:val="right" w:pos="8306"/>
      </w:tabs>
      <w:snapToGrid w:val="0"/>
      <w:jc w:val="center"/>
    </w:pPr>
    <w:rPr>
      <w:sz w:val="18"/>
    </w:rPr>
  </w:style>
  <w:style w:type="paragraph" w:styleId="10">
    <w:name w:val="index 9"/>
    <w:basedOn w:val="1"/>
    <w:next w:val="1"/>
    <w:qFormat/>
    <w:uiPriority w:val="0"/>
    <w:pPr>
      <w:widowControl/>
      <w:ind w:left="1600" w:leftChars="1600"/>
      <w:jc w:val="left"/>
    </w:pPr>
    <w:rPr>
      <w:rFonts w:ascii="Calibri" w:hAnsi="Calibri" w:eastAsia="宋体"/>
      <w:kern w:val="0"/>
      <w:sz w:val="24"/>
      <w:szCs w:val="24"/>
      <w:lang w:eastAsia="en-US" w:bidi="en-US"/>
    </w:rPr>
  </w:style>
  <w:style w:type="paragraph" w:styleId="11">
    <w:name w:val="HTML Preformatted"/>
    <w:basedOn w:val="1"/>
    <w:qFormat/>
    <w:uiPriority w:val="0"/>
    <w:rPr>
      <w:rFonts w:ascii="Courier New" w:hAnsi="Courier New" w:eastAsia="宋体" w:cs="Courier New"/>
      <w:sz w:val="20"/>
    </w:rPr>
  </w:style>
  <w:style w:type="paragraph" w:styleId="12">
    <w:name w:val="Normal (Web)"/>
    <w:basedOn w:val="1"/>
    <w:qFormat/>
    <w:uiPriority w:val="0"/>
    <w:pPr>
      <w:widowControl/>
      <w:spacing w:before="100" w:beforeAutospacing="1" w:after="100" w:afterAutospacing="1" w:line="360" w:lineRule="auto"/>
      <w:jc w:val="left"/>
    </w:pPr>
    <w:rPr>
      <w:rFonts w:ascii="??" w:hAnsi="??" w:cs="宋体"/>
      <w:color w:val="1F225F"/>
      <w:kern w:val="0"/>
      <w:sz w:val="20"/>
    </w:rPr>
  </w:style>
  <w:style w:type="paragraph" w:styleId="13">
    <w:name w:val="Title"/>
    <w:basedOn w:val="1"/>
    <w:next w:val="1"/>
    <w:link w:val="54"/>
    <w:qFormat/>
    <w:uiPriority w:val="0"/>
    <w:pPr>
      <w:spacing w:before="240" w:after="60"/>
      <w:jc w:val="center"/>
      <w:outlineLvl w:val="0"/>
    </w:pPr>
    <w:rPr>
      <w:rFonts w:ascii="Cambria" w:hAnsi="Cambria" w:eastAsia="宋体"/>
      <w:b/>
      <w:bCs/>
      <w:szCs w:val="32"/>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character" w:styleId="18">
    <w:name w:val="Hyperlink"/>
    <w:basedOn w:val="16"/>
    <w:qFormat/>
    <w:uiPriority w:val="0"/>
    <w:rPr>
      <w:color w:val="555555"/>
      <w:u w:val="none"/>
    </w:rPr>
  </w:style>
  <w:style w:type="paragraph" w:customStyle="1" w:styleId="19">
    <w:name w:val="Char Char Char Char Char Char Char Char Char Char Char Char Char Char Char"/>
    <w:basedOn w:val="1"/>
    <w:qFormat/>
    <w:uiPriority w:val="0"/>
    <w:rPr>
      <w:rFonts w:ascii="宋体" w:hAnsi="宋体" w:eastAsia="宋体" w:cs="Courier New"/>
      <w:szCs w:val="32"/>
    </w:rPr>
  </w:style>
  <w:style w:type="paragraph" w:customStyle="1" w:styleId="20">
    <w:name w:val="！标题"/>
    <w:basedOn w:val="1"/>
    <w:link w:val="42"/>
    <w:qFormat/>
    <w:uiPriority w:val="0"/>
    <w:pPr>
      <w:jc w:val="center"/>
    </w:pPr>
    <w:rPr>
      <w:rFonts w:eastAsia="华文中宋"/>
      <w:sz w:val="36"/>
      <w:szCs w:val="24"/>
    </w:rPr>
  </w:style>
  <w:style w:type="paragraph" w:customStyle="1" w:styleId="21">
    <w:name w:val="！正文"/>
    <w:basedOn w:val="1"/>
    <w:link w:val="43"/>
    <w:qFormat/>
    <w:uiPriority w:val="0"/>
    <w:pPr>
      <w:ind w:firstLine="200" w:firstLineChars="200"/>
    </w:pPr>
    <w:rPr>
      <w:szCs w:val="24"/>
    </w:rPr>
  </w:style>
  <w:style w:type="paragraph" w:customStyle="1" w:styleId="22">
    <w:name w:val="！主送单位"/>
    <w:basedOn w:val="1"/>
    <w:link w:val="41"/>
    <w:qFormat/>
    <w:uiPriority w:val="0"/>
    <w:rPr>
      <w:szCs w:val="24"/>
    </w:rPr>
  </w:style>
  <w:style w:type="paragraph" w:customStyle="1" w:styleId="23">
    <w:name w:val="p0"/>
    <w:basedOn w:val="1"/>
    <w:qFormat/>
    <w:uiPriority w:val="0"/>
    <w:pPr>
      <w:widowControl/>
    </w:pPr>
    <w:rPr>
      <w:rFonts w:eastAsia="宋体"/>
      <w:kern w:val="0"/>
      <w:sz w:val="21"/>
      <w:szCs w:val="21"/>
    </w:rPr>
  </w:style>
  <w:style w:type="paragraph" w:customStyle="1" w:styleId="24">
    <w:name w:val="wsh-正文"/>
    <w:basedOn w:val="1"/>
    <w:link w:val="46"/>
    <w:qFormat/>
    <w:uiPriority w:val="0"/>
    <w:pPr>
      <w:spacing w:line="360" w:lineRule="auto"/>
      <w:ind w:firstLine="200" w:firstLineChars="200"/>
    </w:pPr>
    <w:rPr>
      <w:rFonts w:eastAsia="宋体"/>
      <w:sz w:val="28"/>
      <w:szCs w:val="24"/>
    </w:rPr>
  </w:style>
  <w:style w:type="paragraph" w:customStyle="1" w:styleId="25">
    <w:name w:val="！日期"/>
    <w:basedOn w:val="21"/>
    <w:link w:val="47"/>
    <w:qFormat/>
    <w:uiPriority w:val="0"/>
    <w:pPr>
      <w:adjustRightInd w:val="0"/>
      <w:snapToGrid w:val="0"/>
      <w:spacing w:line="520" w:lineRule="exact"/>
      <w:ind w:right="45" w:rightChars="14" w:firstLine="0" w:firstLineChars="0"/>
    </w:pPr>
    <w:rPr>
      <w:rFonts w:ascii="仿宋_GB2312"/>
      <w:szCs w:val="32"/>
    </w:rPr>
  </w:style>
  <w:style w:type="paragraph" w:customStyle="1" w:styleId="26">
    <w:name w:val="Char1"/>
    <w:basedOn w:val="1"/>
    <w:qFormat/>
    <w:uiPriority w:val="0"/>
    <w:rPr>
      <w:rFonts w:eastAsia="宋体"/>
      <w:sz w:val="21"/>
    </w:rPr>
  </w:style>
  <w:style w:type="paragraph" w:customStyle="1" w:styleId="27">
    <w:name w:val="!正文"/>
    <w:basedOn w:val="1"/>
    <w:qFormat/>
    <w:uiPriority w:val="0"/>
    <w:pPr>
      <w:spacing w:line="500" w:lineRule="exact"/>
      <w:ind w:firstLine="880" w:firstLineChars="200"/>
      <w:jc w:val="center"/>
    </w:pPr>
    <w:rPr>
      <w:rFonts w:ascii="华文中宋" w:hAnsi="华文中宋" w:eastAsia="华文中宋"/>
      <w:sz w:val="44"/>
      <w:szCs w:val="44"/>
    </w:rPr>
  </w:style>
  <w:style w:type="paragraph" w:customStyle="1" w:styleId="28">
    <w:name w:val="Char Char Char Char1 Char Char Char"/>
    <w:basedOn w:val="1"/>
    <w:qFormat/>
    <w:uiPriority w:val="0"/>
    <w:pPr>
      <w:widowControl/>
      <w:spacing w:after="160" w:line="240" w:lineRule="exact"/>
      <w:jc w:val="left"/>
    </w:pPr>
    <w:rPr>
      <w:rFonts w:eastAsia="宋体"/>
      <w:sz w:val="21"/>
      <w:szCs w:val="24"/>
    </w:rPr>
  </w:style>
  <w:style w:type="paragraph" w:customStyle="1" w:styleId="29">
    <w:name w:val="样式 四号 首行缩进:  0.99 厘米 行距: 最小值 25 磅4"/>
    <w:basedOn w:val="1"/>
    <w:link w:val="48"/>
    <w:qFormat/>
    <w:uiPriority w:val="0"/>
    <w:pPr>
      <w:spacing w:line="500" w:lineRule="atLeast"/>
      <w:ind w:firstLine="561"/>
    </w:pPr>
    <w:rPr>
      <w:rFonts w:eastAsia="宋体" w:cs="宋体"/>
      <w:sz w:val="28"/>
    </w:rPr>
  </w:style>
  <w:style w:type="paragraph" w:customStyle="1" w:styleId="30">
    <w:name w:val="样式 四号 首行缩进:  0.99 厘米 行距: 最小值 25 磅5"/>
    <w:basedOn w:val="1"/>
    <w:link w:val="49"/>
    <w:qFormat/>
    <w:uiPriority w:val="0"/>
    <w:pPr>
      <w:spacing w:line="500" w:lineRule="atLeast"/>
      <w:ind w:firstLine="561"/>
    </w:pPr>
    <w:rPr>
      <w:rFonts w:eastAsia="宋体" w:cs="宋体"/>
      <w:sz w:val="28"/>
    </w:rPr>
  </w:style>
  <w:style w:type="paragraph" w:customStyle="1" w:styleId="31">
    <w:name w:val="正文D"/>
    <w:basedOn w:val="1"/>
    <w:link w:val="51"/>
    <w:qFormat/>
    <w:uiPriority w:val="0"/>
    <w:pPr>
      <w:spacing w:line="360" w:lineRule="auto"/>
      <w:ind w:firstLine="200" w:firstLineChars="200"/>
    </w:pPr>
    <w:rPr>
      <w:rFonts w:ascii="仿宋_GB2312"/>
      <w:kern w:val="0"/>
      <w:sz w:val="28"/>
      <w:szCs w:val="28"/>
    </w:rPr>
  </w:style>
  <w:style w:type="paragraph" w:customStyle="1" w:styleId="32">
    <w:name w:val="Char1 Char Char Char"/>
    <w:basedOn w:val="1"/>
    <w:qFormat/>
    <w:uiPriority w:val="0"/>
    <w:pPr>
      <w:widowControl/>
      <w:spacing w:after="160" w:line="240" w:lineRule="exact"/>
    </w:pPr>
    <w:rPr>
      <w:rFonts w:ascii="Verdana" w:hAnsi="Verdana" w:eastAsia="宋体"/>
      <w:kern w:val="0"/>
      <w:sz w:val="20"/>
      <w:szCs w:val="24"/>
      <w:lang w:eastAsia="en-US"/>
    </w:rPr>
  </w:style>
  <w:style w:type="paragraph" w:customStyle="1" w:styleId="33">
    <w:name w:val="样式 四号 首行缩进:  0.99 厘米 行距: 最小值 25 磅3"/>
    <w:basedOn w:val="1"/>
    <w:link w:val="52"/>
    <w:qFormat/>
    <w:uiPriority w:val="0"/>
    <w:pPr>
      <w:spacing w:line="500" w:lineRule="atLeast"/>
      <w:ind w:firstLine="561"/>
    </w:pPr>
    <w:rPr>
      <w:rFonts w:eastAsia="宋体" w:cs="宋体"/>
      <w:sz w:val="28"/>
    </w:rPr>
  </w:style>
  <w:style w:type="paragraph" w:customStyle="1" w:styleId="34">
    <w:name w:val="Char1 Char Char Char1"/>
    <w:basedOn w:val="1"/>
    <w:qFormat/>
    <w:uiPriority w:val="0"/>
    <w:pPr>
      <w:widowControl/>
      <w:spacing w:after="160" w:line="240" w:lineRule="exact"/>
    </w:pPr>
    <w:rPr>
      <w:rFonts w:ascii="Verdana" w:hAnsi="Verdana" w:eastAsia="宋体"/>
      <w:kern w:val="0"/>
      <w:sz w:val="20"/>
      <w:szCs w:val="24"/>
      <w:lang w:eastAsia="en-US"/>
    </w:rPr>
  </w:style>
  <w:style w:type="paragraph" w:customStyle="1" w:styleId="35">
    <w:name w:val="Char"/>
    <w:basedOn w:val="1"/>
    <w:semiHidden/>
    <w:qFormat/>
    <w:uiPriority w:val="0"/>
    <w:pPr>
      <w:adjustRightInd w:val="0"/>
      <w:snapToGrid w:val="0"/>
      <w:spacing w:line="500" w:lineRule="atLeast"/>
      <w:ind w:firstLine="561" w:firstLineChars="200"/>
    </w:pPr>
    <w:rPr>
      <w:rFonts w:ascii="Tahoma" w:hAnsi="Tahoma" w:eastAsia="宋体"/>
      <w:sz w:val="28"/>
    </w:rPr>
  </w:style>
  <w:style w:type="paragraph" w:customStyle="1" w:styleId="36">
    <w:name w:val="Char Char Char Char1 Char Char Char1"/>
    <w:basedOn w:val="1"/>
    <w:qFormat/>
    <w:uiPriority w:val="0"/>
    <w:pPr>
      <w:widowControl/>
      <w:spacing w:after="160" w:line="240" w:lineRule="exact"/>
      <w:jc w:val="left"/>
    </w:pPr>
    <w:rPr>
      <w:rFonts w:eastAsia="宋体"/>
      <w:sz w:val="21"/>
      <w:szCs w:val="24"/>
    </w:rPr>
  </w:style>
  <w:style w:type="paragraph" w:customStyle="1" w:styleId="37">
    <w:name w:val="！一级小标题"/>
    <w:basedOn w:val="21"/>
    <w:qFormat/>
    <w:uiPriority w:val="0"/>
    <w:pPr>
      <w:adjustRightInd w:val="0"/>
      <w:snapToGrid w:val="0"/>
      <w:spacing w:line="560" w:lineRule="exact"/>
      <w:ind w:firstLine="640"/>
      <w:jc w:val="left"/>
    </w:pPr>
    <w:rPr>
      <w:rFonts w:ascii="黑体" w:hAnsi="华文中宋" w:eastAsia="黑体"/>
      <w:szCs w:val="44"/>
    </w:rPr>
  </w:style>
  <w:style w:type="paragraph" w:customStyle="1" w:styleId="38">
    <w:name w:val="列出段落1"/>
    <w:basedOn w:val="1"/>
    <w:qFormat/>
    <w:uiPriority w:val="34"/>
    <w:pPr>
      <w:ind w:firstLine="420" w:firstLineChars="200"/>
    </w:pPr>
    <w:rPr>
      <w:rFonts w:ascii="Calibri" w:hAnsi="Calibri" w:eastAsia="宋体"/>
      <w:sz w:val="21"/>
      <w:szCs w:val="22"/>
    </w:rPr>
  </w:style>
  <w:style w:type="paragraph" w:customStyle="1" w:styleId="39">
    <w:name w:val="!主送单位"/>
    <w:basedOn w:val="1"/>
    <w:qFormat/>
    <w:uiPriority w:val="0"/>
    <w:pPr>
      <w:jc w:val="left"/>
    </w:pPr>
    <w:rPr>
      <w:szCs w:val="32"/>
    </w:rPr>
  </w:style>
  <w:style w:type="paragraph" w:customStyle="1" w:styleId="40">
    <w:name w:val="Char Char Char Char1"/>
    <w:basedOn w:val="1"/>
    <w:qFormat/>
    <w:uiPriority w:val="0"/>
    <w:pPr>
      <w:widowControl/>
      <w:spacing w:after="160" w:line="240" w:lineRule="exact"/>
      <w:jc w:val="left"/>
    </w:pPr>
    <w:rPr>
      <w:rFonts w:ascii="Verdana" w:hAnsi="Verdana"/>
      <w:kern w:val="0"/>
      <w:sz w:val="24"/>
      <w:lang w:eastAsia="en-US"/>
    </w:rPr>
  </w:style>
  <w:style w:type="character" w:customStyle="1" w:styleId="41">
    <w:name w:val="！主送单位 Char"/>
    <w:basedOn w:val="16"/>
    <w:link w:val="22"/>
    <w:qFormat/>
    <w:uiPriority w:val="0"/>
    <w:rPr>
      <w:rFonts w:eastAsia="仿宋_GB2312"/>
      <w:kern w:val="2"/>
      <w:sz w:val="32"/>
      <w:szCs w:val="24"/>
      <w:lang w:val="en-US" w:eastAsia="zh-CN" w:bidi="ar-SA"/>
    </w:rPr>
  </w:style>
  <w:style w:type="character" w:customStyle="1" w:styleId="42">
    <w:name w:val="！标题 Char"/>
    <w:basedOn w:val="16"/>
    <w:link w:val="20"/>
    <w:qFormat/>
    <w:uiPriority w:val="0"/>
    <w:rPr>
      <w:rFonts w:eastAsia="华文中宋"/>
      <w:kern w:val="2"/>
      <w:sz w:val="36"/>
      <w:szCs w:val="24"/>
      <w:lang w:val="en-US" w:eastAsia="zh-CN" w:bidi="ar-SA"/>
    </w:rPr>
  </w:style>
  <w:style w:type="character" w:customStyle="1" w:styleId="43">
    <w:name w:val="！正文 Char"/>
    <w:basedOn w:val="16"/>
    <w:link w:val="21"/>
    <w:qFormat/>
    <w:uiPriority w:val="0"/>
    <w:rPr>
      <w:rFonts w:eastAsia="仿宋_GB2312"/>
      <w:kern w:val="2"/>
      <w:sz w:val="32"/>
      <w:szCs w:val="24"/>
      <w:lang w:val="en-US" w:eastAsia="zh-CN" w:bidi="ar-SA"/>
    </w:rPr>
  </w:style>
  <w:style w:type="character" w:customStyle="1" w:styleId="44">
    <w:name w:val="页眉 Char"/>
    <w:basedOn w:val="16"/>
    <w:link w:val="9"/>
    <w:semiHidden/>
    <w:qFormat/>
    <w:uiPriority w:val="99"/>
    <w:rPr>
      <w:rFonts w:eastAsia="仿宋_GB2312"/>
      <w:kern w:val="2"/>
      <w:sz w:val="18"/>
      <w:lang w:val="en-US" w:eastAsia="zh-CN" w:bidi="ar-SA"/>
    </w:rPr>
  </w:style>
  <w:style w:type="character" w:customStyle="1" w:styleId="45">
    <w:name w:val="页脚 Char"/>
    <w:basedOn w:val="16"/>
    <w:link w:val="8"/>
    <w:qFormat/>
    <w:uiPriority w:val="99"/>
    <w:rPr>
      <w:rFonts w:eastAsia="仿宋_GB2312"/>
      <w:kern w:val="2"/>
      <w:sz w:val="18"/>
      <w:lang w:val="en-US" w:eastAsia="zh-CN" w:bidi="ar-SA"/>
    </w:rPr>
  </w:style>
  <w:style w:type="character" w:customStyle="1" w:styleId="46">
    <w:name w:val="wsh-正文 Char"/>
    <w:basedOn w:val="16"/>
    <w:link w:val="24"/>
    <w:qFormat/>
    <w:uiPriority w:val="0"/>
    <w:rPr>
      <w:rFonts w:eastAsia="宋体"/>
      <w:kern w:val="2"/>
      <w:sz w:val="28"/>
      <w:szCs w:val="24"/>
      <w:lang w:val="en-US" w:eastAsia="zh-CN" w:bidi="ar-SA"/>
    </w:rPr>
  </w:style>
  <w:style w:type="character" w:customStyle="1" w:styleId="47">
    <w:name w:val="！日期 Char"/>
    <w:basedOn w:val="43"/>
    <w:link w:val="25"/>
    <w:qFormat/>
    <w:uiPriority w:val="0"/>
    <w:rPr>
      <w:rFonts w:ascii="仿宋_GB2312"/>
      <w:szCs w:val="32"/>
    </w:rPr>
  </w:style>
  <w:style w:type="character" w:customStyle="1" w:styleId="48">
    <w:name w:val="样式 四号 首行缩进:  0.99 厘米 行距: 最小值 25 磅4 Char"/>
    <w:link w:val="29"/>
    <w:qFormat/>
    <w:uiPriority w:val="0"/>
    <w:rPr>
      <w:rFonts w:eastAsia="宋体" w:cs="宋体"/>
      <w:kern w:val="2"/>
      <w:sz w:val="28"/>
      <w:lang w:val="en-US" w:eastAsia="zh-CN" w:bidi="ar-SA"/>
    </w:rPr>
  </w:style>
  <w:style w:type="character" w:customStyle="1" w:styleId="49">
    <w:name w:val="样式 四号 首行缩进:  0.99 厘米 行距: 最小值 25 磅5 Char"/>
    <w:basedOn w:val="16"/>
    <w:link w:val="30"/>
    <w:qFormat/>
    <w:uiPriority w:val="0"/>
    <w:rPr>
      <w:rFonts w:eastAsia="宋体" w:cs="宋体"/>
      <w:kern w:val="2"/>
      <w:sz w:val="28"/>
      <w:lang w:val="en-US" w:eastAsia="zh-CN" w:bidi="ar-SA"/>
    </w:rPr>
  </w:style>
  <w:style w:type="character" w:customStyle="1" w:styleId="50">
    <w:name w:val="正文文本缩进 Char"/>
    <w:basedOn w:val="16"/>
    <w:link w:val="5"/>
    <w:qFormat/>
    <w:uiPriority w:val="0"/>
    <w:rPr>
      <w:rFonts w:eastAsia="仿宋_GB2312"/>
      <w:kern w:val="2"/>
      <w:sz w:val="32"/>
    </w:rPr>
  </w:style>
  <w:style w:type="character" w:customStyle="1" w:styleId="51">
    <w:name w:val="正文D Char Char"/>
    <w:basedOn w:val="16"/>
    <w:link w:val="31"/>
    <w:qFormat/>
    <w:uiPriority w:val="0"/>
    <w:rPr>
      <w:rFonts w:ascii="仿宋_GB2312" w:eastAsia="仿宋_GB2312"/>
      <w:sz w:val="28"/>
      <w:szCs w:val="28"/>
    </w:rPr>
  </w:style>
  <w:style w:type="character" w:customStyle="1" w:styleId="52">
    <w:name w:val="样式 四号 首行缩进:  0.99 厘米 行距: 最小值 25 磅3 Char1"/>
    <w:basedOn w:val="16"/>
    <w:link w:val="33"/>
    <w:qFormat/>
    <w:uiPriority w:val="0"/>
    <w:rPr>
      <w:rFonts w:cs="宋体"/>
      <w:kern w:val="2"/>
      <w:sz w:val="28"/>
    </w:rPr>
  </w:style>
  <w:style w:type="character" w:customStyle="1" w:styleId="53">
    <w:name w:val="apple-style-span"/>
    <w:basedOn w:val="16"/>
    <w:qFormat/>
    <w:uiPriority w:val="0"/>
  </w:style>
  <w:style w:type="character" w:customStyle="1" w:styleId="54">
    <w:name w:val="标题 Char"/>
    <w:basedOn w:val="16"/>
    <w:link w:val="13"/>
    <w:qFormat/>
    <w:uiPriority w:val="0"/>
    <w:rPr>
      <w:rFonts w:ascii="Cambria" w:hAnsi="Cambria"/>
      <w:b/>
      <w:bCs/>
      <w:kern w:val="2"/>
      <w:sz w:val="32"/>
      <w:szCs w:val="32"/>
    </w:rPr>
  </w:style>
  <w:style w:type="paragraph" w:customStyle="1" w:styleId="55">
    <w:name w:val="Char2"/>
    <w:basedOn w:val="1"/>
    <w:qFormat/>
    <w:uiPriority w:val="0"/>
    <w:rPr>
      <w:rFonts w:ascii="Calibri" w:hAnsi="Calibri" w:eastAsia="宋体"/>
      <w:sz w:val="21"/>
      <w:szCs w:val="24"/>
    </w:rPr>
  </w:style>
  <w:style w:type="character" w:customStyle="1" w:styleId="56">
    <w:name w:val="标题 2 Char"/>
    <w:basedOn w:val="16"/>
    <w:link w:val="3"/>
    <w:qFormat/>
    <w:uiPriority w:val="9"/>
    <w:rPr>
      <w:rFonts w:ascii="Arial" w:hAnsi="Arial" w:eastAsia="黑体" w:cs="Times New Roman"/>
      <w:b/>
      <w:kern w:val="2"/>
      <w:sz w:val="32"/>
    </w:rPr>
  </w:style>
  <w:style w:type="character" w:customStyle="1" w:styleId="57">
    <w:name w:val="font31"/>
    <w:qFormat/>
    <w:uiPriority w:val="0"/>
    <w:rPr>
      <w:rFonts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www.xunchi.com</Company>
  <Pages>11</Pages>
  <Words>4202</Words>
  <Characters>4273</Characters>
  <Lines>12</Lines>
  <Paragraphs>3</Paragraphs>
  <TotalTime>0</TotalTime>
  <ScaleCrop>false</ScaleCrop>
  <LinksUpToDate>false</LinksUpToDate>
  <CharactersWithSpaces>4384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2024-04-09T07:14:00Z</dcterms:created>
  <dc:creator>吕刚</dc:creator>
  <cp:lastModifiedBy>Mint1398171869</cp:lastModifiedBy>
  <cp:lastPrinted>2024-04-09T06:51:00Z</cp:lastPrinted>
  <dcterms:modified xsi:type="dcterms:W3CDTF">2024-12-23T06:51:47Z</dcterms:modified>
  <dc:title>门发改函〔2011〕219号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EBC90B33D2324FDC8A0580AACFBCE367_13</vt:lpwstr>
  </property>
</Properties>
</file>