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5F260B">
      <w:pPr>
        <w:snapToGrid/>
        <w:spacing w:before="0" w:beforeAutospacing="0" w:after="0" w:afterAutospacing="0" w:line="240" w:lineRule="auto"/>
        <w:ind w:right="-165"/>
        <w:jc w:val="distribute"/>
        <w:textAlignment w:val="baseline"/>
        <w:rPr>
          <w:rFonts w:hint="eastAsia" w:ascii="方正小标宋简体" w:hAnsi="华文中宋" w:eastAsia="方正小标宋简体"/>
          <w:b/>
          <w:bCs/>
          <w:i w:val="0"/>
          <w:caps w:val="0"/>
          <w:color w:val="FF0000"/>
          <w:spacing w:val="0"/>
          <w:w w:val="72"/>
          <w:kern w:val="0"/>
          <w:position w:val="10"/>
          <w:sz w:val="32"/>
          <w:szCs w:val="32"/>
        </w:rPr>
      </w:pPr>
      <w:r>
        <w:rPr>
          <w:rFonts w:hint="eastAsia" w:ascii="方正小标宋简体" w:hAnsi="华文中宋" w:eastAsia="方正小标宋简体"/>
          <w:b/>
          <w:bCs/>
          <w:i w:val="0"/>
          <w:caps w:val="0"/>
          <w:color w:val="FF0000"/>
          <w:spacing w:val="0"/>
          <w:w w:val="72"/>
          <w:kern w:val="0"/>
          <w:position w:val="10"/>
          <w:sz w:val="32"/>
          <w:szCs w:val="32"/>
        </w:rPr>
        <w:t>国家税务总局</w:t>
      </w:r>
    </w:p>
    <w:p w14:paraId="10DC10AF">
      <w:pPr>
        <w:keepNext w:val="0"/>
        <w:keepLines w:val="0"/>
        <w:pageBreakBefore w:val="0"/>
        <w:widowControl w:val="0"/>
        <w:kinsoku/>
        <w:wordWrap/>
        <w:overflowPunct/>
        <w:topLinePunct w:val="0"/>
        <w:autoSpaceDE/>
        <w:autoSpaceDN/>
        <w:bidi w:val="0"/>
        <w:adjustRightInd/>
        <w:snapToGrid/>
        <w:spacing w:line="1400" w:lineRule="exact"/>
        <w:ind w:right="-166" w:rightChars="-79"/>
        <w:jc w:val="distribute"/>
        <w:textAlignment w:val="auto"/>
        <w:rPr>
          <w:rFonts w:hint="eastAsia" w:ascii="方正小标宋简体" w:hAnsi="方正小标宋简体" w:eastAsia="方正小标宋简体" w:cs="方正小标宋简体"/>
          <w:b/>
          <w:snapToGrid w:val="0"/>
          <w:color w:val="FF0000"/>
          <w:w w:val="72"/>
          <w:kern w:val="0"/>
          <w:position w:val="10"/>
          <w:sz w:val="110"/>
          <w:szCs w:val="110"/>
        </w:rPr>
      </w:pPr>
      <w:r>
        <w:rPr>
          <w:rFonts w:hint="eastAsia" w:ascii="方正小标宋简体" w:hAnsi="方正小标宋简体" w:eastAsia="方正小标宋简体" w:cs="方正小标宋简体"/>
          <w:b/>
          <w:snapToGrid w:val="0"/>
          <w:color w:val="FF0000"/>
          <w:w w:val="72"/>
          <w:kern w:val="0"/>
          <w:position w:val="10"/>
          <w:sz w:val="110"/>
          <w:szCs w:val="110"/>
        </w:rPr>
        <w:t>北京市门头沟区水务局</w:t>
      </w:r>
    </w:p>
    <w:p w14:paraId="01B57025">
      <w:pPr>
        <w:keepNext w:val="0"/>
        <w:keepLines w:val="0"/>
        <w:pageBreakBefore w:val="0"/>
        <w:widowControl w:val="0"/>
        <w:kinsoku/>
        <w:wordWrap/>
        <w:overflowPunct/>
        <w:topLinePunct w:val="0"/>
        <w:autoSpaceDE/>
        <w:autoSpaceDN/>
        <w:bidi w:val="0"/>
        <w:adjustRightInd/>
        <w:snapToGrid/>
        <w:spacing w:line="1400" w:lineRule="exact"/>
        <w:ind w:left="0" w:leftChars="0" w:right="-166" w:rightChars="-79"/>
        <w:jc w:val="distribute"/>
        <w:textAlignment w:val="auto"/>
        <w:rPr>
          <w:rFonts w:hint="eastAsia" w:ascii="方正小标宋简体" w:hAnsi="方正小标宋简体" w:eastAsia="方正小标宋简体" w:cs="方正小标宋简体"/>
          <w:b/>
          <w:snapToGrid w:val="0"/>
          <w:color w:val="FF0000"/>
          <w:w w:val="50"/>
          <w:kern w:val="0"/>
          <w:position w:val="10"/>
          <w:sz w:val="110"/>
          <w:szCs w:val="110"/>
          <w:lang w:val="en-US" w:eastAsia="zh-CN"/>
        </w:rPr>
      </w:pPr>
      <w:r>
        <w:rPr>
          <w:rFonts w:hint="eastAsia" w:ascii="方正小标宋简体" w:hAnsi="方正小标宋简体" w:eastAsia="方正小标宋简体" w:cs="方正小标宋简体"/>
          <w:b/>
          <w:snapToGrid w:val="0"/>
          <w:color w:val="FF0000"/>
          <w:w w:val="50"/>
          <w:kern w:val="0"/>
          <w:position w:val="10"/>
          <w:sz w:val="110"/>
          <w:szCs w:val="110"/>
          <w:lang w:val="en-US" w:eastAsia="zh-CN"/>
        </w:rPr>
        <w:t>北京市门头沟区发展和改革委员会</w:t>
      </w:r>
    </w:p>
    <w:p w14:paraId="53366E12">
      <w:pPr>
        <w:keepNext w:val="0"/>
        <w:keepLines w:val="0"/>
        <w:pageBreakBefore w:val="0"/>
        <w:widowControl w:val="0"/>
        <w:kinsoku/>
        <w:wordWrap/>
        <w:overflowPunct/>
        <w:topLinePunct w:val="0"/>
        <w:autoSpaceDE/>
        <w:autoSpaceDN/>
        <w:bidi w:val="0"/>
        <w:adjustRightInd/>
        <w:snapToGrid/>
        <w:spacing w:line="1400" w:lineRule="exact"/>
        <w:ind w:right="-166" w:rightChars="-79"/>
        <w:jc w:val="distribute"/>
        <w:textAlignment w:val="auto"/>
        <w:rPr>
          <w:rFonts w:hint="eastAsia" w:ascii="方正小标宋简体" w:hAnsi="方正小标宋简体" w:eastAsia="方正小标宋简体" w:cs="方正小标宋简体"/>
          <w:b/>
          <w:snapToGrid w:val="0"/>
          <w:color w:val="FF0000"/>
          <w:w w:val="72"/>
          <w:kern w:val="0"/>
          <w:position w:val="10"/>
          <w:sz w:val="110"/>
          <w:szCs w:val="110"/>
          <w:lang w:val="en-US" w:eastAsia="zh-CN"/>
        </w:rPr>
      </w:pPr>
      <w:r>
        <w:rPr>
          <w:rFonts w:hint="eastAsia" w:ascii="方正小标宋简体" w:hAnsi="方正小标宋简体" w:eastAsia="方正小标宋简体" w:cs="方正小标宋简体"/>
          <w:b/>
          <w:snapToGrid w:val="0"/>
          <w:color w:val="FF0000"/>
          <w:w w:val="72"/>
          <w:kern w:val="0"/>
          <w:position w:val="10"/>
          <w:sz w:val="110"/>
          <w:szCs w:val="110"/>
          <w:lang w:val="en-US" w:eastAsia="zh-CN"/>
        </w:rPr>
        <w:t>北京市门头沟区财政局</w:t>
      </w:r>
    </w:p>
    <w:p w14:paraId="43ABE885">
      <w:pPr>
        <w:keepNext w:val="0"/>
        <w:keepLines w:val="0"/>
        <w:pageBreakBefore w:val="0"/>
        <w:widowControl w:val="0"/>
        <w:kinsoku/>
        <w:wordWrap/>
        <w:overflowPunct/>
        <w:topLinePunct w:val="0"/>
        <w:autoSpaceDE/>
        <w:autoSpaceDN/>
        <w:bidi w:val="0"/>
        <w:adjustRightInd/>
        <w:snapToGrid/>
        <w:spacing w:line="1400" w:lineRule="exact"/>
        <w:ind w:left="0" w:leftChars="0" w:right="-166" w:rightChars="-79"/>
        <w:jc w:val="distribute"/>
        <w:textAlignment w:val="auto"/>
        <w:rPr>
          <w:rFonts w:hint="eastAsia" w:ascii="方正小标宋简体" w:hAnsi="方正小标宋简体" w:eastAsia="方正小标宋简体" w:cs="方正小标宋简体"/>
          <w:b/>
          <w:snapToGrid w:val="0"/>
          <w:color w:val="FF0000"/>
          <w:w w:val="50"/>
          <w:kern w:val="0"/>
          <w:position w:val="10"/>
          <w:sz w:val="110"/>
          <w:szCs w:val="110"/>
          <w:lang w:val="en-US" w:eastAsia="zh-CN"/>
        </w:rPr>
      </w:pPr>
      <w:r>
        <w:rPr>
          <w:rFonts w:hint="eastAsia" w:ascii="方正小标宋简体" w:hAnsi="方正小标宋简体" w:eastAsia="方正小标宋简体" w:cs="方正小标宋简体"/>
          <w:b/>
          <w:snapToGrid w:val="0"/>
          <w:color w:val="FF0000"/>
          <w:w w:val="50"/>
          <w:kern w:val="0"/>
          <w:position w:val="10"/>
          <w:sz w:val="110"/>
          <w:szCs w:val="110"/>
          <w:lang w:val="en-US" w:eastAsia="zh-CN"/>
        </w:rPr>
        <w:t>国家税务</w:t>
      </w:r>
      <w:bookmarkStart w:id="0" w:name="_GoBack"/>
      <w:bookmarkEnd w:id="0"/>
      <w:r>
        <w:rPr>
          <w:rFonts w:hint="eastAsia" w:ascii="方正小标宋简体" w:hAnsi="方正小标宋简体" w:eastAsia="方正小标宋简体" w:cs="方正小标宋简体"/>
          <w:b/>
          <w:snapToGrid w:val="0"/>
          <w:color w:val="FF0000"/>
          <w:w w:val="50"/>
          <w:kern w:val="0"/>
          <w:position w:val="10"/>
          <w:sz w:val="110"/>
          <w:szCs w:val="110"/>
          <w:lang w:val="en-US" w:eastAsia="zh-CN"/>
        </w:rPr>
        <w:t>总局北京市门头沟税务局</w:t>
      </w:r>
    </w:p>
    <w:p w14:paraId="159AB15C">
      <w:pPr>
        <w:spacing w:line="580" w:lineRule="exact"/>
        <w:rPr>
          <w:rFonts w:hint="eastAsia" w:ascii="仿宋_GB2312" w:eastAsia="仿宋_GB2312"/>
          <w:sz w:val="32"/>
          <w:szCs w:val="32"/>
          <w:lang w:eastAsia="zh-CN"/>
        </w:rPr>
      </w:pPr>
    </w:p>
    <w:p w14:paraId="665FE14F">
      <w:pPr>
        <w:spacing w:line="580" w:lineRule="exact"/>
        <w:rPr>
          <w:rFonts w:ascii="仿宋_GB2312" w:eastAsia="仿宋_GB2312"/>
          <w:sz w:val="32"/>
          <w:szCs w:val="32"/>
        </w:rPr>
      </w:pPr>
      <w:r>
        <mc:AlternateContent>
          <mc:Choice Requires="wps">
            <w:drawing>
              <wp:anchor distT="0" distB="0" distL="114300" distR="114300" simplePos="0" relativeHeight="251659264" behindDoc="0" locked="0" layoutInCell="1" allowOverlap="1">
                <wp:simplePos x="0" y="0"/>
                <wp:positionH relativeFrom="column">
                  <wp:posOffset>-158115</wp:posOffset>
                </wp:positionH>
                <wp:positionV relativeFrom="paragraph">
                  <wp:posOffset>336550</wp:posOffset>
                </wp:positionV>
                <wp:extent cx="6073775" cy="14605"/>
                <wp:effectExtent l="0" t="0" r="0" b="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6073775" cy="14605"/>
                        </a:xfrm>
                        <a:prstGeom prst="line">
                          <a:avLst/>
                        </a:prstGeom>
                        <a:noFill/>
                        <a:ln w="25400">
                          <a:solidFill>
                            <a:srgbClr val="FF0000"/>
                          </a:solidFill>
                          <a:round/>
                        </a:ln>
                      </wps:spPr>
                      <wps:bodyPr/>
                    </wps:wsp>
                  </a:graphicData>
                </a:graphic>
              </wp:anchor>
            </w:drawing>
          </mc:Choice>
          <mc:Fallback>
            <w:pict>
              <v:line id="_x0000_s1026" o:spid="_x0000_s1026" o:spt="20" style="position:absolute;left:0pt;margin-left:-12.45pt;margin-top:26.5pt;height:1.15pt;width:478.25pt;z-index:251659264;mso-width-relative:page;mso-height-relative:page;" filled="f" stroked="t" coordsize="21600,21600" o:gfxdata="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m&#10;cjwQ2AAAAAkBAAAPAAAAAAAAAAEAIAAAACIAAABkcnMvZG93bnJldi54bWxQSwECFAAUAAAACACH&#10;TuJAS3Rq1usBAACvAwAADgAAAAAAAAABACAAAAAnAQAAZHJzL2Uyb0RvYy54bWxQSwUGAAAAAAYA&#10;BgBZAQAAhAUAAAAA&#10;">
                <v:fill on="f" focussize="0,0"/>
                <v:stroke weight="2pt" color="#FF0000" joinstyle="round"/>
                <v:imagedata o:title=""/>
                <o:lock v:ext="edit" aspectratio="f"/>
              </v:line>
            </w:pict>
          </mc:Fallback>
        </mc:AlternateContent>
      </w:r>
      <w:r>
        <w:rPr>
          <w:rFonts w:hint="eastAsia" w:ascii="仿宋_GB2312" w:eastAsia="仿宋_GB2312"/>
          <w:sz w:val="32"/>
          <w:szCs w:val="32"/>
        </w:rPr>
        <w:t>门水文</w:t>
      </w:r>
      <w:r>
        <w:rPr>
          <w:rFonts w:hint="eastAsia" w:ascii="仿宋_GB2312" w:hAnsi="Arial" w:eastAsia="仿宋_GB2312" w:cs="Arial"/>
          <w:sz w:val="32"/>
          <w:szCs w:val="32"/>
        </w:rPr>
        <w:t>〔202</w:t>
      </w:r>
      <w:r>
        <w:rPr>
          <w:rFonts w:hint="eastAsia" w:ascii="仿宋_GB2312" w:hAnsi="Arial" w:eastAsia="仿宋_GB2312" w:cs="Arial"/>
          <w:sz w:val="32"/>
          <w:szCs w:val="32"/>
          <w:lang w:val="en-US" w:eastAsia="zh-CN"/>
        </w:rPr>
        <w:t>4</w:t>
      </w:r>
      <w:r>
        <w:rPr>
          <w:rFonts w:hint="eastAsia" w:ascii="仿宋_GB2312" w:hAnsi="Arial" w:eastAsia="仿宋_GB2312" w:cs="Arial"/>
          <w:sz w:val="32"/>
          <w:szCs w:val="32"/>
        </w:rPr>
        <w:t>〕</w:t>
      </w:r>
      <w:r>
        <w:rPr>
          <w:rFonts w:hint="eastAsia" w:ascii="仿宋_GB2312" w:hAnsi="Arial" w:eastAsia="仿宋_GB2312" w:cs="Arial"/>
          <w:sz w:val="32"/>
          <w:szCs w:val="32"/>
          <w:lang w:val="en-US" w:eastAsia="zh-CN"/>
        </w:rPr>
        <w:t>498</w:t>
      </w:r>
      <w:r>
        <w:rPr>
          <w:rFonts w:hint="eastAsia" w:ascii="仿宋_GB2312" w:eastAsia="仿宋_GB2312"/>
          <w:sz w:val="32"/>
          <w:szCs w:val="32"/>
        </w:rPr>
        <w:t xml:space="preserve">号                   </w:t>
      </w:r>
      <w:r>
        <w:rPr>
          <w:rFonts w:hint="eastAsia" w:ascii="仿宋_GB2312" w:eastAsia="仿宋_GB2312"/>
          <w:sz w:val="32"/>
          <w:szCs w:val="32"/>
          <w:lang w:val="en-US" w:eastAsia="zh-CN"/>
        </w:rPr>
        <w:t xml:space="preserve">     </w:t>
      </w:r>
      <w:r>
        <w:rPr>
          <w:rFonts w:ascii="仿宋_GB2312" w:eastAsia="仿宋_GB2312"/>
          <w:sz w:val="32"/>
          <w:szCs w:val="32"/>
        </w:rPr>
        <w:t xml:space="preserve"> </w:t>
      </w:r>
      <w:r>
        <w:rPr>
          <w:rFonts w:hint="eastAsia" w:ascii="仿宋_GB2312" w:eastAsia="仿宋_GB2312"/>
          <w:sz w:val="32"/>
          <w:szCs w:val="32"/>
        </w:rPr>
        <w:t>签发人：</w:t>
      </w:r>
      <w:r>
        <w:rPr>
          <w:rFonts w:hint="eastAsia" w:ascii="楷体_GB2312" w:eastAsia="楷体_GB2312"/>
          <w:sz w:val="32"/>
          <w:szCs w:val="32"/>
        </w:rPr>
        <w:t>周</w:t>
      </w:r>
      <w:r>
        <w:rPr>
          <w:rFonts w:hint="eastAsia" w:ascii="楷体_GB2312" w:eastAsia="楷体_GB2312"/>
          <w:sz w:val="32"/>
          <w:szCs w:val="32"/>
          <w:lang w:val="en-US" w:eastAsia="zh-CN"/>
        </w:rPr>
        <w:t xml:space="preserve">  </w:t>
      </w:r>
      <w:r>
        <w:rPr>
          <w:rFonts w:hint="eastAsia" w:ascii="楷体_GB2312" w:eastAsia="楷体_GB2312"/>
          <w:sz w:val="32"/>
          <w:szCs w:val="32"/>
        </w:rPr>
        <w:t>杨</w:t>
      </w:r>
    </w:p>
    <w:p w14:paraId="27FF49B6">
      <w:pPr>
        <w:spacing w:line="560" w:lineRule="exact"/>
      </w:pPr>
    </w:p>
    <w:p w14:paraId="5ECA0E73">
      <w:pPr>
        <w:pStyle w:val="3"/>
        <w:spacing w:line="255" w:lineRule="auto"/>
        <w:rPr>
          <w:rFonts w:hint="eastAsia" w:ascii="仿宋_GB2312" w:hAnsi="仿宋_GB2312" w:eastAsia="仿宋_GB2312" w:cs="仿宋_GB2312"/>
          <w:sz w:val="32"/>
          <w:szCs w:val="32"/>
        </w:rPr>
      </w:pPr>
    </w:p>
    <w:p w14:paraId="2DC9D0FB">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关于印发《门头沟区非居民用水户计划用水</w:t>
      </w:r>
    </w:p>
    <w:p w14:paraId="0BC86DC8">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和定额管理暂行办法》的通知</w:t>
      </w:r>
    </w:p>
    <w:p w14:paraId="1311D451">
      <w:pPr>
        <w:keepNext w:val="0"/>
        <w:keepLines w:val="0"/>
        <w:pageBreakBefore w:val="0"/>
        <w:widowControl/>
        <w:suppressLineNumbers w:val="0"/>
        <w:kinsoku/>
        <w:wordWrap/>
        <w:overflowPunct/>
        <w:topLinePunct w:val="0"/>
        <w:autoSpaceDE/>
        <w:autoSpaceDN/>
        <w:bidi w:val="0"/>
        <w:adjustRightInd/>
        <w:snapToGrid/>
        <w:spacing w:line="660" w:lineRule="exact"/>
        <w:ind w:left="0" w:leftChars="0" w:right="0" w:rightChars="0"/>
        <w:jc w:val="left"/>
        <w:textAlignment w:val="auto"/>
        <w:outlineLvl w:val="9"/>
        <w:rPr>
          <w:rFonts w:ascii="仿宋_GB2312" w:hAnsi="宋体" w:eastAsia="仿宋_GB2312" w:cs="仿宋_GB2312"/>
          <w:color w:val="000000"/>
          <w:kern w:val="0"/>
          <w:sz w:val="32"/>
          <w:szCs w:val="32"/>
          <w:lang w:val="en-US" w:eastAsia="zh-CN" w:bidi="ar"/>
        </w:rPr>
      </w:pPr>
    </w:p>
    <w:p w14:paraId="5F1434BC">
      <w:pPr>
        <w:keepNext w:val="0"/>
        <w:keepLines w:val="0"/>
        <w:pageBreakBefore w:val="0"/>
        <w:widowControl/>
        <w:suppressLineNumbers w:val="0"/>
        <w:kinsoku/>
        <w:wordWrap/>
        <w:overflowPunct/>
        <w:topLinePunct w:val="0"/>
        <w:autoSpaceDE/>
        <w:autoSpaceDN/>
        <w:bidi w:val="0"/>
        <w:adjustRightInd/>
        <w:snapToGrid/>
        <w:spacing w:line="660" w:lineRule="exact"/>
        <w:ind w:left="0" w:leftChars="0" w:right="0" w:rightChars="0"/>
        <w:jc w:val="left"/>
        <w:textAlignment w:val="auto"/>
        <w:outlineLvl w:val="9"/>
        <w:rPr>
          <w:sz w:val="32"/>
          <w:szCs w:val="32"/>
        </w:rPr>
      </w:pPr>
      <w:r>
        <w:rPr>
          <w:rFonts w:ascii="仿宋_GB2312" w:hAnsi="宋体" w:eastAsia="仿宋_GB2312" w:cs="仿宋_GB2312"/>
          <w:color w:val="000000"/>
          <w:kern w:val="0"/>
          <w:sz w:val="32"/>
          <w:szCs w:val="32"/>
          <w:lang w:val="en-US" w:eastAsia="zh-CN" w:bidi="ar"/>
        </w:rPr>
        <w:t xml:space="preserve">各有关单位： </w:t>
      </w:r>
    </w:p>
    <w:p w14:paraId="438E8871">
      <w:pPr>
        <w:keepNext w:val="0"/>
        <w:keepLines w:val="0"/>
        <w:pageBreakBefore w:val="0"/>
        <w:widowControl/>
        <w:suppressLineNumbers w:val="0"/>
        <w:kinsoku/>
        <w:wordWrap/>
        <w:overflowPunct/>
        <w:topLinePunct w:val="0"/>
        <w:autoSpaceDE/>
        <w:autoSpaceDN/>
        <w:bidi w:val="0"/>
        <w:adjustRightInd/>
        <w:snapToGrid/>
        <w:spacing w:line="660" w:lineRule="exact"/>
        <w:ind w:left="0" w:leftChars="0" w:right="0" w:rightChars="0" w:firstLine="640" w:firstLineChars="200"/>
        <w:jc w:val="left"/>
        <w:textAlignment w:val="auto"/>
        <w:outlineLvl w:val="9"/>
        <w:rPr>
          <w:sz w:val="32"/>
          <w:szCs w:val="32"/>
        </w:rPr>
      </w:pPr>
      <w:r>
        <w:rPr>
          <w:rFonts w:hint="eastAsia" w:ascii="仿宋_GB2312" w:hAnsi="宋体" w:eastAsia="仿宋_GB2312" w:cs="仿宋_GB2312"/>
          <w:color w:val="000000"/>
          <w:kern w:val="0"/>
          <w:sz w:val="32"/>
          <w:szCs w:val="32"/>
          <w:lang w:val="en-US" w:eastAsia="zh-CN" w:bidi="ar"/>
        </w:rPr>
        <w:t xml:space="preserve">为了落实《北京市节水条例》《北京市非居民用水户计划用水和定额管理暂行办法》，完善相关配套制度，我们制定了《门头沟区非居民用水户计划用水和定额管理暂行办法》（以下简称《办法》），《办法》已经区政府批准，现予印发，请遵照执行。 </w:t>
      </w:r>
    </w:p>
    <w:p w14:paraId="24D4782A">
      <w:pPr>
        <w:keepNext w:val="0"/>
        <w:keepLines w:val="0"/>
        <w:pageBreakBefore w:val="0"/>
        <w:widowControl/>
        <w:suppressLineNumbers w:val="0"/>
        <w:kinsoku/>
        <w:wordWrap/>
        <w:overflowPunct/>
        <w:topLinePunct w:val="0"/>
        <w:autoSpaceDE/>
        <w:autoSpaceDN/>
        <w:bidi w:val="0"/>
        <w:adjustRightInd/>
        <w:snapToGrid/>
        <w:spacing w:line="660" w:lineRule="exact"/>
        <w:ind w:left="0" w:leftChars="0" w:right="0" w:rightChars="0" w:firstLine="640" w:firstLineChars="200"/>
        <w:jc w:val="left"/>
        <w:textAlignment w:val="auto"/>
        <w:outlineLvl w:val="9"/>
        <w:rPr>
          <w:sz w:val="32"/>
          <w:szCs w:val="32"/>
        </w:rPr>
      </w:pPr>
      <w:r>
        <w:rPr>
          <w:rFonts w:hint="eastAsia" w:ascii="仿宋_GB2312" w:hAnsi="宋体" w:eastAsia="仿宋_GB2312" w:cs="仿宋_GB2312"/>
          <w:color w:val="000000"/>
          <w:kern w:val="0"/>
          <w:sz w:val="32"/>
          <w:szCs w:val="32"/>
          <w:lang w:val="en-US" w:eastAsia="zh-CN" w:bidi="ar"/>
        </w:rPr>
        <w:t xml:space="preserve">特此通知。 </w:t>
      </w:r>
    </w:p>
    <w:p w14:paraId="717C8DE9">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宋体" w:eastAsia="仿宋_GB2312" w:cs="仿宋_GB2312"/>
          <w:color w:val="000000"/>
          <w:kern w:val="0"/>
          <w:sz w:val="32"/>
          <w:szCs w:val="32"/>
          <w:lang w:val="en-US" w:eastAsia="zh-CN" w:bidi="ar"/>
        </w:rPr>
      </w:pPr>
    </w:p>
    <w:p w14:paraId="3590352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p>
    <w:p w14:paraId="705C0AF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p>
    <w:p w14:paraId="14E3E0E7">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_GB2312" w:hAnsi="宋体" w:eastAsia="仿宋_GB2312" w:cs="仿宋_GB2312"/>
          <w:color w:val="000000"/>
          <w:kern w:val="0"/>
          <w:sz w:val="32"/>
          <w:szCs w:val="32"/>
          <w:lang w:val="en-US" w:eastAsia="zh-CN" w:bidi="ar"/>
        </w:rPr>
      </w:pPr>
    </w:p>
    <w:p w14:paraId="61BCDA96">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北京市门头沟区水务局           </w:t>
      </w:r>
    </w:p>
    <w:p w14:paraId="5DDB7951">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北京市门头沟区财政局 </w:t>
      </w:r>
    </w:p>
    <w:p w14:paraId="339D4B27">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北京市门头沟区发展和改革委员会       </w:t>
      </w:r>
    </w:p>
    <w:p w14:paraId="36FC10EB">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国家税务总局北京市门头沟区税务局 </w:t>
      </w:r>
    </w:p>
    <w:p w14:paraId="35DB0EA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                                      2024 年12月17日</w:t>
      </w:r>
    </w:p>
    <w:p w14:paraId="00567C8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p>
    <w:p w14:paraId="503F7B3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p>
    <w:p w14:paraId="22A80DE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p>
    <w:p w14:paraId="7DD7302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p>
    <w:p w14:paraId="422901C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000000"/>
          <w:kern w:val="0"/>
          <w:sz w:val="32"/>
          <w:szCs w:val="32"/>
          <w:lang w:val="en-US" w:eastAsia="zh-CN" w:bidi="ar"/>
        </w:rPr>
      </w:pPr>
    </w:p>
    <w:p w14:paraId="4ECE45E0">
      <w:pPr>
        <w:pBdr>
          <w:bottom w:val="single" w:color="auto" w:sz="6" w:space="1"/>
        </w:pBdr>
        <w:snapToGrid/>
        <w:spacing w:before="240" w:beforeAutospacing="0" w:after="0" w:afterAutospacing="0" w:line="240" w:lineRule="auto"/>
        <w:jc w:val="left"/>
        <w:textAlignment w:val="baseline"/>
        <w:rPr>
          <w:rFonts w:ascii="仿宋_GB2312" w:hAnsi="仿宋_GB2312" w:eastAsia="仿宋_GB2312" w:cs="仿宋_GB2312"/>
          <w:b w:val="0"/>
          <w:i w:val="0"/>
          <w:caps w:val="0"/>
          <w:spacing w:val="0"/>
          <w:w w:val="100"/>
          <w:sz w:val="32"/>
          <w:szCs w:val="32"/>
        </w:rPr>
      </w:pPr>
    </w:p>
    <w:p w14:paraId="527E07B0">
      <w:pPr>
        <w:pStyle w:val="2"/>
        <w:ind w:left="0" w:leftChars="0" w:firstLine="0" w:firstLineChars="0"/>
        <w:jc w:val="left"/>
        <w:rPr>
          <w:rFonts w:hint="eastAsia" w:eastAsia="仿宋_GB2312"/>
          <w:lang w:eastAsia="zh-CN"/>
        </w:rPr>
      </w:pPr>
      <w:r>
        <w:rPr>
          <w:rFonts w:hint="eastAsia" w:ascii="仿宋_GB2312" w:hAnsi="仿宋_GB2312" w:eastAsia="仿宋_GB2312" w:cs="仿宋_GB2312"/>
          <w:b w:val="0"/>
          <w:i w:val="0"/>
          <w:caps w:val="0"/>
          <w:spacing w:val="0"/>
          <w:w w:val="100"/>
          <w:sz w:val="28"/>
          <w:szCs w:val="28"/>
        </w:rPr>
        <mc:AlternateContent>
          <mc:Choice Requires="wps">
            <w:drawing>
              <wp:anchor distT="0" distB="0" distL="0" distR="0" simplePos="0" relativeHeight="251660288" behindDoc="0" locked="0" layoutInCell="1" allowOverlap="1">
                <wp:simplePos x="0" y="0"/>
                <wp:positionH relativeFrom="column">
                  <wp:posOffset>-71120</wp:posOffset>
                </wp:positionH>
                <wp:positionV relativeFrom="paragraph">
                  <wp:posOffset>294640</wp:posOffset>
                </wp:positionV>
                <wp:extent cx="5880100" cy="3175"/>
                <wp:effectExtent l="0" t="0" r="0" b="0"/>
                <wp:wrapNone/>
                <wp:docPr id="1027" name="Line 6"/>
                <wp:cNvGraphicFramePr/>
                <a:graphic xmlns:a="http://schemas.openxmlformats.org/drawingml/2006/main">
                  <a:graphicData uri="http://schemas.microsoft.com/office/word/2010/wordprocessingShape">
                    <wps:wsp>
                      <wps:cNvCnPr/>
                      <wps:spPr>
                        <a:xfrm flipH="1">
                          <a:off x="0" y="0"/>
                          <a:ext cx="5880100" cy="3175"/>
                        </a:xfrm>
                        <a:prstGeom prst="line">
                          <a:avLst/>
                        </a:prstGeom>
                        <a:ln w="12700" cap="flat" cmpd="sng">
                          <a:solidFill>
                            <a:srgbClr val="000000"/>
                          </a:solidFill>
                          <a:prstDash val="solid"/>
                          <a:round/>
                        </a:ln>
                      </wps:spPr>
                      <wps:bodyPr/>
                    </wps:wsp>
                  </a:graphicData>
                </a:graphic>
              </wp:anchor>
            </w:drawing>
          </mc:Choice>
          <mc:Fallback>
            <w:pict>
              <v:line id="Line 6" o:spid="_x0000_s1026" o:spt="20" style="position:absolute;left:0pt;flip:x;margin-left:-5.6pt;margin-top:23.2pt;height:0.25pt;width:463pt;z-index:251660288;mso-width-relative:page;mso-height-relative:page;" filled="f" stroked="t" coordsize="21600,21600" o:gfxdata="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SJ5ShdgAAAAJAQAADwAAAAAAAAABACAAAAAiAAAAZHJzL2Rvd25yZXYu&#10;eG1sUEsBAhQAFAAAAAgAh07iQPdTjYPCAQAAlAMAAA4AAAAAAAAAAQAgAAAAJwEAAGRycy9lMm9E&#10;b2MueG1sUEsFBgAAAAAGAAYAWQEAAFsFAAAAAA==&#10;">
                <v:fill on="f" focussize="0,0"/>
                <v:stroke weight="1pt" color="#000000" joinstyle="round"/>
                <v:imagedata o:title=""/>
                <o:lock v:ext="edit" aspectratio="f"/>
              </v:line>
            </w:pict>
          </mc:Fallback>
        </mc:AlternateContent>
      </w:r>
      <w:r>
        <w:rPr>
          <w:rFonts w:hint="eastAsia" w:ascii="仿宋_GB2312" w:hAnsi="仿宋_GB2312" w:eastAsia="仿宋_GB2312" w:cs="仿宋_GB2312"/>
          <w:b w:val="0"/>
          <w:i w:val="0"/>
          <w:caps w:val="0"/>
          <w:spacing w:val="0"/>
          <w:w w:val="100"/>
          <w:sz w:val="28"/>
          <w:szCs w:val="28"/>
        </w:rPr>
        <w:t xml:space="preserve">门头沟区水务局办公室               </w:t>
      </w:r>
      <w:r>
        <w:rPr>
          <w:rFonts w:hint="eastAsia" w:ascii="仿宋_GB2312" w:hAnsi="仿宋_GB2312" w:eastAsia="仿宋_GB2312" w:cs="仿宋_GB2312"/>
          <w:b w:val="0"/>
          <w:i w:val="0"/>
          <w:caps w:val="0"/>
          <w:spacing w:val="0"/>
          <w:w w:val="100"/>
          <w:sz w:val="28"/>
          <w:szCs w:val="28"/>
          <w:lang w:val="en-US" w:eastAsia="zh-CN"/>
        </w:rPr>
        <w:t xml:space="preserve">        </w:t>
      </w:r>
      <w:r>
        <w:rPr>
          <w:rFonts w:hint="eastAsia" w:ascii="仿宋_GB2312" w:hAnsi="仿宋_GB2312" w:eastAsia="仿宋_GB2312" w:cs="仿宋_GB2312"/>
          <w:b w:val="0"/>
          <w:i w:val="0"/>
          <w:caps w:val="0"/>
          <w:spacing w:val="0"/>
          <w:w w:val="100"/>
          <w:sz w:val="28"/>
          <w:szCs w:val="28"/>
        </w:rPr>
        <w:t>202</w:t>
      </w:r>
      <w:r>
        <w:rPr>
          <w:rFonts w:hint="eastAsia" w:ascii="仿宋_GB2312" w:hAnsi="仿宋_GB2312" w:eastAsia="仿宋_GB2312" w:cs="仿宋_GB2312"/>
          <w:b w:val="0"/>
          <w:i w:val="0"/>
          <w:caps w:val="0"/>
          <w:spacing w:val="0"/>
          <w:w w:val="100"/>
          <w:sz w:val="28"/>
          <w:szCs w:val="28"/>
          <w:lang w:val="en-US" w:eastAsia="zh-CN"/>
        </w:rPr>
        <w:t>4</w:t>
      </w:r>
      <w:r>
        <w:rPr>
          <w:rFonts w:hint="eastAsia" w:ascii="仿宋_GB2312" w:hAnsi="仿宋_GB2312" w:eastAsia="仿宋_GB2312" w:cs="仿宋_GB2312"/>
          <w:b w:val="0"/>
          <w:i w:val="0"/>
          <w:caps w:val="0"/>
          <w:spacing w:val="0"/>
          <w:w w:val="100"/>
          <w:sz w:val="28"/>
          <w:szCs w:val="28"/>
        </w:rPr>
        <w:t>年</w:t>
      </w:r>
      <w:r>
        <w:rPr>
          <w:rFonts w:hint="eastAsia" w:ascii="仿宋_GB2312" w:hAnsi="仿宋_GB2312" w:eastAsia="仿宋_GB2312" w:cs="仿宋_GB2312"/>
          <w:b w:val="0"/>
          <w:i w:val="0"/>
          <w:caps w:val="0"/>
          <w:spacing w:val="0"/>
          <w:w w:val="100"/>
          <w:sz w:val="28"/>
          <w:szCs w:val="28"/>
          <w:lang w:val="en-US" w:eastAsia="zh-CN"/>
        </w:rPr>
        <w:t>12</w:t>
      </w:r>
      <w:r>
        <w:rPr>
          <w:rFonts w:hint="eastAsia" w:ascii="仿宋_GB2312" w:hAnsi="仿宋_GB2312" w:eastAsia="仿宋_GB2312" w:cs="仿宋_GB2312"/>
          <w:b w:val="0"/>
          <w:i w:val="0"/>
          <w:caps w:val="0"/>
          <w:spacing w:val="0"/>
          <w:w w:val="100"/>
          <w:sz w:val="28"/>
          <w:szCs w:val="28"/>
        </w:rPr>
        <w:t>月</w:t>
      </w:r>
      <w:r>
        <w:rPr>
          <w:rFonts w:hint="eastAsia" w:ascii="仿宋_GB2312" w:hAnsi="仿宋_GB2312" w:eastAsia="仿宋_GB2312" w:cs="仿宋_GB2312"/>
          <w:b w:val="0"/>
          <w:i w:val="0"/>
          <w:caps w:val="0"/>
          <w:spacing w:val="0"/>
          <w:w w:val="100"/>
          <w:sz w:val="28"/>
          <w:szCs w:val="28"/>
          <w:lang w:val="en-US" w:eastAsia="zh-CN"/>
        </w:rPr>
        <w:t>17</w:t>
      </w:r>
      <w:r>
        <w:rPr>
          <w:rFonts w:hint="eastAsia" w:ascii="仿宋_GB2312" w:hAnsi="仿宋_GB2312" w:eastAsia="仿宋_GB2312" w:cs="仿宋_GB2312"/>
          <w:b w:val="0"/>
          <w:i w:val="0"/>
          <w:caps w:val="0"/>
          <w:spacing w:val="0"/>
          <w:w w:val="100"/>
          <w:sz w:val="28"/>
          <w:szCs w:val="28"/>
        </w:rPr>
        <w:t>日印</w:t>
      </w:r>
      <w:r>
        <w:rPr>
          <w:rFonts w:hint="eastAsia" w:ascii="仿宋_GB2312" w:hAnsi="仿宋_GB2312" w:eastAsia="仿宋_GB2312" w:cs="仿宋_GB2312"/>
          <w:b w:val="0"/>
          <w:i w:val="0"/>
          <w:caps w:val="0"/>
          <w:spacing w:val="0"/>
          <w:w w:val="100"/>
          <w:sz w:val="28"/>
          <w:szCs w:val="28"/>
          <w:lang w:eastAsia="zh-CN"/>
        </w:rPr>
        <w:t>发</w:t>
      </w:r>
    </w:p>
    <w:p w14:paraId="253DBDA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14:paraId="73B539E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14:paraId="65214BA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14:paraId="76E133C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14:paraId="0272515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门头沟区非居民用水户</w:t>
      </w:r>
    </w:p>
    <w:p w14:paraId="0CCDAB5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44"/>
          <w:szCs w:val="44"/>
        </w:rPr>
      </w:pPr>
      <w:r>
        <w:rPr>
          <w:rFonts w:hint="eastAsia" w:ascii="方正小标宋简体" w:hAnsi="方正小标宋简体" w:eastAsia="方正小标宋简体" w:cs="方正小标宋简体"/>
          <w:sz w:val="44"/>
          <w:szCs w:val="44"/>
          <w:lang w:eastAsia="zh-CN"/>
        </w:rPr>
        <w:t>计划用水和定额管理暂行办法</w:t>
      </w:r>
    </w:p>
    <w:p w14:paraId="7DF0989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p>
    <w:p w14:paraId="497D533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第一章 总则</w:t>
      </w:r>
    </w:p>
    <w:p w14:paraId="389DEE1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5601FC4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为深入贯彻“节水优先、空间均衡、系统治理、两手发力”的治水思路，依据《中华人民共和国水法》《北京市节水条例》《城镇供水价格管理办法》《</w:t>
      </w:r>
      <w:r>
        <w:rPr>
          <w:rFonts w:hint="eastAsia" w:ascii="仿宋_GB2312" w:hAnsi="仿宋_GB2312" w:eastAsia="仿宋_GB2312" w:cs="仿宋_GB2312"/>
          <w:sz w:val="32"/>
          <w:szCs w:val="32"/>
          <w:lang w:eastAsia="zh-CN"/>
        </w:rPr>
        <w:t>北京市城镇供水价格管理实施细则</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《北京市非居民用水户计划用水和定额管理暂行办法》</w:t>
      </w:r>
      <w:r>
        <w:rPr>
          <w:rFonts w:hint="eastAsia" w:ascii="仿宋_GB2312" w:hAnsi="仿宋_GB2312" w:eastAsia="仿宋_GB2312" w:cs="仿宋_GB2312"/>
          <w:sz w:val="32"/>
          <w:szCs w:val="32"/>
        </w:rPr>
        <w:t>等法律</w:t>
      </w:r>
      <w:r>
        <w:rPr>
          <w:rFonts w:hint="eastAsia" w:ascii="仿宋_GB2312" w:hAnsi="仿宋_GB2312" w:eastAsia="仿宋_GB2312" w:cs="仿宋_GB2312"/>
          <w:sz w:val="32"/>
          <w:szCs w:val="32"/>
          <w:lang w:eastAsia="zh-CN"/>
        </w:rPr>
        <w:t>规章</w:t>
      </w:r>
      <w:r>
        <w:rPr>
          <w:rFonts w:hint="eastAsia" w:ascii="仿宋_GB2312" w:hAnsi="仿宋_GB2312" w:eastAsia="仿宋_GB2312" w:cs="仿宋_GB2312"/>
          <w:sz w:val="32"/>
          <w:szCs w:val="32"/>
        </w:rPr>
        <w:t>，结合我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实际，以实际用水情况为基础，以</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效率与效益提升为目标，制定本办法。</w:t>
      </w:r>
    </w:p>
    <w:p w14:paraId="17C8C7F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本办法适用于</w:t>
      </w:r>
      <w:r>
        <w:rPr>
          <w:rFonts w:hint="eastAsia" w:ascii="仿宋_GB2312" w:hAnsi="仿宋_GB2312" w:eastAsia="仿宋_GB2312" w:cs="仿宋_GB2312"/>
          <w:sz w:val="32"/>
          <w:szCs w:val="32"/>
          <w:lang w:eastAsia="zh-CN"/>
        </w:rPr>
        <w:t>管理纳入取水许可管理和年用水量5000立方米以上</w:t>
      </w:r>
      <w:r>
        <w:rPr>
          <w:rFonts w:hint="eastAsia" w:ascii="仿宋_GB2312" w:hAnsi="仿宋_GB2312" w:eastAsia="仿宋_GB2312" w:cs="仿宋_GB2312"/>
          <w:sz w:val="32"/>
          <w:szCs w:val="32"/>
        </w:rPr>
        <w:t>由公共供水管网供水的非居民用水户。 </w:t>
      </w:r>
    </w:p>
    <w:p w14:paraId="338DCA4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水务部门负责计划用水和定额管理的组织、协调、指导和监督</w:t>
      </w:r>
      <w:r>
        <w:rPr>
          <w:rFonts w:hint="eastAsia" w:ascii="仿宋_GB2312" w:hAnsi="仿宋_GB2312" w:eastAsia="仿宋_GB2312" w:cs="仿宋_GB2312"/>
          <w:sz w:val="32"/>
          <w:szCs w:val="32"/>
          <w:lang w:eastAsia="zh-CN"/>
        </w:rPr>
        <w:t>；区发展和改革部门负责按市发改委要求建立健全公共供水的超定额累进加价制度；区财政部门负责按市财政局要求监督指导税费政策落实情况；区税务部门负责征收水资源税及超定额加征水资源税。</w:t>
      </w:r>
    </w:p>
    <w:p w14:paraId="64DCC5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仿宋_GB2312" w:eastAsia="仿宋_GB2312" w:cs="仿宋_GB2312"/>
          <w:sz w:val="32"/>
          <w:szCs w:val="32"/>
          <w:lang w:eastAsia="zh-CN"/>
        </w:rPr>
        <w:t>供水单位</w:t>
      </w:r>
      <w:r>
        <w:rPr>
          <w:rFonts w:hint="eastAsia" w:ascii="仿宋_GB2312" w:hAnsi="仿宋_GB2312" w:eastAsia="仿宋_GB2312" w:cs="仿宋_GB2312"/>
          <w:sz w:val="32"/>
          <w:szCs w:val="32"/>
        </w:rPr>
        <w:t>负责</w:t>
      </w:r>
      <w:r>
        <w:rPr>
          <w:rFonts w:hint="eastAsia" w:ascii="仿宋_GB2312" w:hAnsi="仿宋_GB2312" w:eastAsia="仿宋_GB2312" w:cs="仿宋_GB2312"/>
          <w:sz w:val="32"/>
          <w:szCs w:val="32"/>
          <w:lang w:eastAsia="zh-CN"/>
        </w:rPr>
        <w:t>执行水费及</w:t>
      </w:r>
      <w:r>
        <w:rPr>
          <w:rFonts w:hint="eastAsia" w:ascii="仿宋_GB2312" w:hAnsi="仿宋_GB2312" w:eastAsia="仿宋_GB2312" w:cs="仿宋_GB2312"/>
          <w:sz w:val="32"/>
          <w:szCs w:val="32"/>
        </w:rPr>
        <w:t>超定额累进加价</w:t>
      </w:r>
      <w:r>
        <w:rPr>
          <w:rFonts w:hint="eastAsia" w:ascii="仿宋_GB2312" w:hAnsi="仿宋_GB2312" w:eastAsia="仿宋_GB2312" w:cs="仿宋_GB2312"/>
          <w:sz w:val="32"/>
          <w:szCs w:val="32"/>
          <w:lang w:eastAsia="zh-CN"/>
        </w:rPr>
        <w:t>收取登记</w:t>
      </w:r>
      <w:r>
        <w:rPr>
          <w:rFonts w:hint="eastAsia" w:ascii="仿宋_GB2312" w:hAnsi="仿宋_GB2312" w:eastAsia="仿宋_GB2312" w:cs="仿宋_GB2312"/>
          <w:sz w:val="32"/>
          <w:szCs w:val="32"/>
        </w:rPr>
        <w:t>。</w:t>
      </w:r>
    </w:p>
    <w:p w14:paraId="425432A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p>
    <w:p w14:paraId="150B5A8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eastAsia="zh-CN"/>
        </w:rPr>
      </w:pPr>
    </w:p>
    <w:p w14:paraId="4363228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第二章 用水指标核算与下达</w:t>
      </w:r>
    </w:p>
    <w:p w14:paraId="5A74EF3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rPr>
      </w:pPr>
    </w:p>
    <w:p w14:paraId="5A3C2F3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以非居民用水户为单位下达用水指标。</w:t>
      </w:r>
    </w:p>
    <w:p w14:paraId="7474AF0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非居民用水户应当按照规定提供用水信息，每年12月底前更新与用水指标核算相关的基本信息和用水信息，包括本年度生产经营活动实际数据、下年度生产经营活动预测数据等，鼓励通过网络填报和智能水表远传数据等便捷方式实现。</w:t>
      </w:r>
    </w:p>
    <w:p w14:paraId="26D4262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区水务部门</w:t>
      </w:r>
      <w:r>
        <w:rPr>
          <w:rFonts w:hint="eastAsia" w:ascii="仿宋_GB2312" w:hAnsi="仿宋_GB2312" w:eastAsia="仿宋_GB2312" w:cs="仿宋_GB2312"/>
          <w:sz w:val="32"/>
          <w:szCs w:val="32"/>
          <w:lang w:eastAsia="zh-CN"/>
        </w:rPr>
        <w:t>负责</w:t>
      </w:r>
      <w:r>
        <w:rPr>
          <w:rFonts w:hint="eastAsia" w:ascii="仿宋_GB2312" w:hAnsi="仿宋_GB2312" w:eastAsia="仿宋_GB2312" w:cs="仿宋_GB2312"/>
          <w:sz w:val="32"/>
          <w:szCs w:val="32"/>
        </w:rPr>
        <w:t>按照区域年度生产生活用水计划、行业用水定额，综合考虑非居民用水户的生产、生活需要，并结合实际用水情况、各类节水措施落实等因素核算用水指标（即定额总量）。</w:t>
      </w:r>
    </w:p>
    <w:p w14:paraId="16245D3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用水指标核算方法</w:t>
      </w:r>
      <w:r>
        <w:rPr>
          <w:rFonts w:hint="eastAsia" w:ascii="仿宋_GB2312" w:hAnsi="仿宋_GB2312" w:eastAsia="仿宋_GB2312" w:cs="仿宋_GB2312"/>
          <w:sz w:val="32"/>
          <w:szCs w:val="32"/>
          <w:lang w:eastAsia="zh-CN"/>
        </w:rPr>
        <w:t>需参照《北京市非居民用水户计划用水和定额管理暂行办法》规定执行。</w:t>
      </w:r>
    </w:p>
    <w:p w14:paraId="48EBA42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获得市级以上水效领跑者称号，市级节水先进集体称号，市级节水载体称号和达到行业用水定额先进水平的非居民用水户，在根据实际用水量核算用水指标时，可适当放宽核算标准，但不得超过按照用水定额核算的水量和取水许可量。</w:t>
      </w:r>
    </w:p>
    <w:p w14:paraId="6B34914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用水指标应当明确水源类型和用水用途。</w:t>
      </w:r>
    </w:p>
    <w:p w14:paraId="52C0927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对具备再生水利用条件的非居民用水户，应当下达再生水用水指标，同步合理减少其地下水、自来水的用水指标。</w:t>
      </w:r>
    </w:p>
    <w:p w14:paraId="5CC5630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区水务部门</w:t>
      </w:r>
      <w:r>
        <w:rPr>
          <w:rFonts w:hint="eastAsia" w:ascii="仿宋_GB2312" w:hAnsi="仿宋_GB2312" w:eastAsia="仿宋_GB2312" w:cs="仿宋_GB2312"/>
          <w:sz w:val="32"/>
          <w:szCs w:val="32"/>
          <w:lang w:eastAsia="zh-CN"/>
        </w:rPr>
        <w:t>负责</w:t>
      </w:r>
      <w:r>
        <w:rPr>
          <w:rFonts w:hint="eastAsia" w:ascii="仿宋_GB2312" w:hAnsi="仿宋_GB2312" w:eastAsia="仿宋_GB2312" w:cs="仿宋_GB2312"/>
          <w:sz w:val="32"/>
          <w:szCs w:val="32"/>
        </w:rPr>
        <w:t>按照规定时间将年度用水指标下达到非居民用水户，同时告知其供水单位，并向市水务部门报备。</w:t>
      </w:r>
    </w:p>
    <w:p w14:paraId="3480FFB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非居民用水户收到用水指标后，认为其不能满足本单位合理用水需求的，可提出重新核算申请，并提交以下证明材料：</w:t>
      </w:r>
    </w:p>
    <w:p w14:paraId="518EE48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（一）生产规模、产品、产量、工艺、人数、设备设施、绿化面积等发生变化的相关证明材料；</w:t>
      </w:r>
    </w:p>
    <w:p w14:paraId="402A332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（二）主要节水管理措施和用水效率、效益等说明材料。</w:t>
      </w:r>
    </w:p>
    <w:p w14:paraId="7C4C262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ascii="仿宋_GB2312" w:hAnsi="仿宋_GB2312" w:eastAsia="仿宋_GB2312" w:cs="仿宋_GB2312"/>
          <w:sz w:val="32"/>
          <w:szCs w:val="32"/>
        </w:rPr>
        <w:t>区水务部门在收到证明材料后10个工作日内予以重新核算，对不能调整的要予以说明。</w:t>
      </w:r>
    </w:p>
    <w:p w14:paraId="3E2DD42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36F14F9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第三章 用水指标调整与监督</w:t>
      </w:r>
    </w:p>
    <w:p w14:paraId="58BAD24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66C5A44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非居民用水户年度用水过程中因生产规模增加、重大保障任务等情形确需增加本年度用水指标的，可以参照第九条之规定，提出用水指标调整申请。</w:t>
      </w:r>
    </w:p>
    <w:p w14:paraId="4F6F328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lang w:val="en-US" w:eastAsia="zh-CN"/>
        </w:rPr>
        <w:t xml:space="preserve"> 本区</w:t>
      </w:r>
      <w:r>
        <w:rPr>
          <w:rFonts w:hint="eastAsia" w:ascii="仿宋_GB2312" w:hAnsi="仿宋_GB2312" w:eastAsia="仿宋_GB2312" w:cs="仿宋_GB2312"/>
          <w:sz w:val="32"/>
          <w:szCs w:val="32"/>
        </w:rPr>
        <w:t>园林绿化、环境卫生、建筑施工等需临时用水的，应当向区水务部门提出临时用水指标申请。</w:t>
      </w:r>
    </w:p>
    <w:p w14:paraId="1B8C087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区水务部门应当对实际用水量可能超出年度用水指标的非居民用水户予以警示；对实际用水量超出年度用水指标20%的非居民用水户开展用水监督检查，督促、指导落实问题整改。用水监督检查过程中发现浪费用水的违法行为的，应当依法处理。</w:t>
      </w:r>
    </w:p>
    <w:p w14:paraId="0D5114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仿宋_GB2312" w:eastAsia="仿宋_GB2312" w:cs="仿宋_GB2312"/>
          <w:sz w:val="32"/>
          <w:szCs w:val="32"/>
        </w:rPr>
        <w:t>区水务部门应当</w:t>
      </w:r>
      <w:r>
        <w:rPr>
          <w:rFonts w:hint="eastAsia" w:ascii="仿宋_GB2312" w:hAnsi="仿宋_GB2312" w:eastAsia="仿宋_GB2312" w:cs="仿宋_GB2312"/>
          <w:sz w:val="32"/>
          <w:szCs w:val="32"/>
          <w:lang w:eastAsia="zh-CN"/>
        </w:rPr>
        <w:t>结合管理实际需要，原则上第一季度用水量达到年度用水指标四分之一以上、半年用水量达到年度用水指标二分之一以上、前三季度用水量达到年度用水指标四分之三以上的应给予警示，在用水户超出年度用水指标时，下发年度用水指标警示告知书。</w:t>
      </w:r>
    </w:p>
    <w:p w14:paraId="035112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6F13802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第四章 超定额累进加价</w:t>
      </w:r>
    </w:p>
    <w:p w14:paraId="63E89F1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56EED63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对超过年度用水指标的非居民用水户实行超定额累进加价（税）。规定如下：</w:t>
      </w:r>
    </w:p>
    <w:p w14:paraId="433021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（一）纳入取水许可管理的非居民用水户，取水量超过用水指标时，按照《北京市水资源税改革试点实施办法》（京政发〔2017〕36号）等相关规定，对超出部分累进加征水资源税。</w:t>
      </w:r>
    </w:p>
    <w:p w14:paraId="5506F0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（二）公共管网供水的非居民用水户，用水量超过用水指标时，按照《北京市城镇供水价格管理实施细则》（京发改规〔2022〕2号）等相关规定，</w:t>
      </w:r>
      <w:r>
        <w:rPr>
          <w:rFonts w:hint="eastAsia" w:ascii="仿宋_GB2312" w:hAnsi="仿宋_GB2312" w:eastAsia="仿宋_GB2312" w:cs="仿宋_GB2312"/>
          <w:sz w:val="32"/>
          <w:szCs w:val="32"/>
          <w:lang w:eastAsia="zh-CN"/>
        </w:rPr>
        <w:t>供水单位</w:t>
      </w:r>
      <w:r>
        <w:rPr>
          <w:rFonts w:hint="eastAsia" w:ascii="仿宋_GB2312" w:hAnsi="仿宋_GB2312" w:eastAsia="仿宋_GB2312" w:cs="仿宋_GB2312"/>
          <w:sz w:val="32"/>
          <w:szCs w:val="32"/>
        </w:rPr>
        <w:t>对超出部分累进加收水费，不含水资源税、污水处理费。</w:t>
      </w:r>
    </w:p>
    <w:p w14:paraId="3E48AE9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再生水暂不执行超定额累进加价，鼓励加大再生水利用。</w:t>
      </w:r>
    </w:p>
    <w:p w14:paraId="0E39784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3A3E31C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第五章 保障与监督管理</w:t>
      </w:r>
    </w:p>
    <w:p w14:paraId="00D1FF6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23F488C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公共供水单位应当装表到户、计量到户、抄表到户、收费到户、服务到户。对具备条件的非居民用水户应当安装、更换智能远传水表。</w:t>
      </w:r>
    </w:p>
    <w:p w14:paraId="025D5E2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具有不同用水性质的公共供水混合用水户，应当分别装表计量。</w:t>
      </w:r>
    </w:p>
    <w:p w14:paraId="44D2B9C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供水单位应当建立用水户及其用水信息数据库，</w:t>
      </w:r>
      <w:r>
        <w:rPr>
          <w:rFonts w:hint="eastAsia" w:ascii="仿宋_GB2312" w:hAnsi="仿宋_GB2312" w:eastAsia="仿宋_GB2312" w:cs="仿宋_GB2312"/>
          <w:sz w:val="32"/>
          <w:szCs w:val="32"/>
          <w:lang w:eastAsia="zh-CN"/>
        </w:rPr>
        <w:t>按月更新共享台账，</w:t>
      </w:r>
      <w:r>
        <w:rPr>
          <w:rFonts w:hint="eastAsia" w:ascii="仿宋_GB2312" w:hAnsi="仿宋_GB2312" w:eastAsia="仿宋_GB2312" w:cs="仿宋_GB2312"/>
          <w:sz w:val="32"/>
          <w:szCs w:val="32"/>
        </w:rPr>
        <w:t>并</w:t>
      </w:r>
      <w:r>
        <w:rPr>
          <w:rFonts w:hint="eastAsia" w:ascii="仿宋_GB2312" w:hAnsi="仿宋_GB2312" w:eastAsia="仿宋_GB2312" w:cs="仿宋_GB2312"/>
          <w:sz w:val="32"/>
          <w:szCs w:val="32"/>
          <w:lang w:eastAsia="zh-CN"/>
        </w:rPr>
        <w:t>与水量表格一同报送至</w:t>
      </w:r>
      <w:r>
        <w:rPr>
          <w:rFonts w:hint="eastAsia" w:ascii="仿宋_GB2312" w:hAnsi="仿宋_GB2312" w:eastAsia="仿宋_GB2312" w:cs="仿宋_GB2312"/>
          <w:sz w:val="32"/>
          <w:szCs w:val="32"/>
        </w:rPr>
        <w:t>水务等部门。</w:t>
      </w:r>
    </w:p>
    <w:p w14:paraId="767998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供水单位应当认真落实信息公开制度，每年6月底前将上年度超定额累进加价收入的使用情况以适当方式向社会公开。</w:t>
      </w:r>
    </w:p>
    <w:p w14:paraId="15DFF1D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第十七条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纳入取水许可管理的非居民用水户，用水指标中的水源类型、用途应当与取水许可证明确的水源类型、取水用途保持一致，用水指标不得超过其取水许可水量。</w:t>
      </w:r>
    </w:p>
    <w:p w14:paraId="6857CC1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按照智慧城市大数据平台共享交换有关规定，经济和信息化、住房城乡建设、卫生健康、市场监督管理、城市管理、商务、园林绿化、教育、体育、文化旅游和机关事务等行业主管部门应根据用水指标核算需要共享已掌握的数据信息，提高用水指标核算的准确性。</w:t>
      </w:r>
    </w:p>
    <w:p w14:paraId="4E94C8F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第十九条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公共管网供水的非居民用水户不按时交纳累进加价的，供水单位应当依法催交；多次催交仍不交纳的，供水单位可通过诉讼等法律手段要求其履行合同义务。纳入取水许可管理的非居民用水户不按时缴纳超定额水资源税的，由税务机关依法进行追缴。</w:t>
      </w:r>
    </w:p>
    <w:p w14:paraId="7E90452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2CF1C06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第六章 附则</w:t>
      </w:r>
    </w:p>
    <w:p w14:paraId="6B6BA6D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1537823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本办法由区水务局会同区发改委、区财政局、</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税务局负责解释。</w:t>
      </w:r>
    </w:p>
    <w:p w14:paraId="4BB4589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本办法定期评估，适时修订。</w:t>
      </w:r>
    </w:p>
    <w:p w14:paraId="293BC9F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本办法自</w:t>
      </w:r>
      <w:r>
        <w:rPr>
          <w:rFonts w:hint="eastAsia" w:ascii="仿宋_GB2312" w:hAnsi="仿宋_GB2312" w:eastAsia="仿宋_GB2312" w:cs="仿宋_GB2312"/>
          <w:sz w:val="32"/>
          <w:szCs w:val="32"/>
          <w:lang w:eastAsia="zh-CN"/>
        </w:rPr>
        <w:t>正式发布</w:t>
      </w:r>
      <w:r>
        <w:rPr>
          <w:rFonts w:hint="eastAsia" w:ascii="仿宋_GB2312" w:hAnsi="仿宋_GB2312" w:eastAsia="仿宋_GB2312" w:cs="仿宋_GB2312"/>
          <w:sz w:val="32"/>
          <w:szCs w:val="32"/>
        </w:rPr>
        <w:t>起实施，此前有关规定与本办法不一致的，按本办法执行。</w:t>
      </w:r>
    </w:p>
    <w:p w14:paraId="07F1135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0000FF"/>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9059DA8-63AF-4A80-BEC3-E56AA74C98D3}"/>
  </w:font>
  <w:font w:name="黑体">
    <w:panose1 w:val="02010609060101010101"/>
    <w:charset w:val="86"/>
    <w:family w:val="auto"/>
    <w:pitch w:val="default"/>
    <w:sig w:usb0="800002BF" w:usb1="38CF7CFA" w:usb2="00000016" w:usb3="00000000" w:csb0="00040001" w:csb1="00000000"/>
    <w:embedRegular r:id="rId2" w:fontKey="{4A17DD13-7A92-40DE-857E-682C31DA0FF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3" w:fontKey="{9928B430-3CA0-4652-9354-EE8082CFF078}"/>
  </w:font>
  <w:font w:name="华文中宋">
    <w:panose1 w:val="02010600040101010101"/>
    <w:charset w:val="86"/>
    <w:family w:val="auto"/>
    <w:pitch w:val="default"/>
    <w:sig w:usb0="00000287" w:usb1="080F0000" w:usb2="00000000" w:usb3="00000000" w:csb0="0004009F" w:csb1="DFD70000"/>
    <w:embedRegular r:id="rId4" w:fontKey="{A4E55A28-AE59-4932-9E5A-23A1D52D4A92}"/>
  </w:font>
  <w:font w:name="仿宋_GB2312">
    <w:panose1 w:val="02010609030101010101"/>
    <w:charset w:val="86"/>
    <w:family w:val="auto"/>
    <w:pitch w:val="default"/>
    <w:sig w:usb0="00000001" w:usb1="080E0000" w:usb2="00000000" w:usb3="00000000" w:csb0="00040000" w:csb1="00000000"/>
    <w:embedRegular r:id="rId5" w:fontKey="{8158F536-4639-48C7-8CDD-D9213D86B21F}"/>
  </w:font>
  <w:font w:name="楷体_GB2312">
    <w:altName w:val="楷体"/>
    <w:panose1 w:val="02010609030101010101"/>
    <w:charset w:val="86"/>
    <w:family w:val="modern"/>
    <w:pitch w:val="default"/>
    <w:sig w:usb0="00000000" w:usb1="00000000" w:usb2="00000000" w:usb3="00000000" w:csb0="00040000" w:csb1="00000000"/>
    <w:embedRegular r:id="rId6" w:fontKey="{4BA15E82-107D-4890-8E35-0F4C4026C47F}"/>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NWUzYjZjYjg4NzAyZDBlYzM0NDI5YjYwNzVhNTYifQ=="/>
  </w:docVars>
  <w:rsids>
    <w:rsidRoot w:val="757C5283"/>
    <w:rsid w:val="01840681"/>
    <w:rsid w:val="0E77289A"/>
    <w:rsid w:val="0EAE4EDF"/>
    <w:rsid w:val="0EE26D46"/>
    <w:rsid w:val="140335E3"/>
    <w:rsid w:val="1F3874AC"/>
    <w:rsid w:val="2073266B"/>
    <w:rsid w:val="21507811"/>
    <w:rsid w:val="21E8615A"/>
    <w:rsid w:val="298B6E4D"/>
    <w:rsid w:val="29B661CF"/>
    <w:rsid w:val="2B754ED7"/>
    <w:rsid w:val="2D6C6795"/>
    <w:rsid w:val="2F351797"/>
    <w:rsid w:val="312F300D"/>
    <w:rsid w:val="32AA7632"/>
    <w:rsid w:val="35E74DBE"/>
    <w:rsid w:val="364952C1"/>
    <w:rsid w:val="457F6D26"/>
    <w:rsid w:val="4FDE7696"/>
    <w:rsid w:val="50237D10"/>
    <w:rsid w:val="512F6EC2"/>
    <w:rsid w:val="54584CEA"/>
    <w:rsid w:val="55686829"/>
    <w:rsid w:val="5748483A"/>
    <w:rsid w:val="57516EC3"/>
    <w:rsid w:val="5ACE4BD6"/>
    <w:rsid w:val="5B3B7107"/>
    <w:rsid w:val="5F0351E9"/>
    <w:rsid w:val="5FFF7879"/>
    <w:rsid w:val="60AF34B9"/>
    <w:rsid w:val="60CC0402"/>
    <w:rsid w:val="6105633A"/>
    <w:rsid w:val="615F3322"/>
    <w:rsid w:val="617501E0"/>
    <w:rsid w:val="62206160"/>
    <w:rsid w:val="63FB0B04"/>
    <w:rsid w:val="6696627B"/>
    <w:rsid w:val="6D32083C"/>
    <w:rsid w:val="6E674410"/>
    <w:rsid w:val="73382076"/>
    <w:rsid w:val="737D6F41"/>
    <w:rsid w:val="75246E24"/>
    <w:rsid w:val="757C5283"/>
    <w:rsid w:val="79764DDF"/>
    <w:rsid w:val="79E427ED"/>
    <w:rsid w:val="7B60648C"/>
    <w:rsid w:val="7BB21C30"/>
    <w:rsid w:val="7C26442C"/>
    <w:rsid w:val="7CBE25A5"/>
    <w:rsid w:val="7EBA43A2"/>
    <w:rsid w:val="7EFA0CA5"/>
    <w:rsid w:val="DEFE62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Body Text"/>
    <w:basedOn w:val="1"/>
    <w:next w:val="4"/>
    <w:qFormat/>
    <w:uiPriority w:val="99"/>
    <w:pPr>
      <w:spacing w:after="120"/>
    </w:pPr>
  </w:style>
  <w:style w:type="paragraph" w:customStyle="1" w:styleId="4">
    <w:name w:val="TOC 11"/>
    <w:next w:val="1"/>
    <w:qFormat/>
    <w:uiPriority w:val="0"/>
    <w:pPr>
      <w:wordWrap w:val="0"/>
      <w:jc w:val="both"/>
    </w:pPr>
    <w:rPr>
      <w:rFonts w:ascii="Calibri" w:hAnsi="Calibri" w:eastAsia="宋体" w:cs="Times New Roman"/>
      <w:kern w:val="0"/>
      <w:sz w:val="21"/>
      <w:szCs w:val="22"/>
      <w:lang w:val="en-US" w:eastAsia="zh-CN" w:bidi="ar-SA"/>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区水务局</Company>
  <Pages>8</Pages>
  <Words>322</Words>
  <Characters>337</Characters>
  <Lines>0</Lines>
  <Paragraphs>0</Paragraphs>
  <TotalTime>4</TotalTime>
  <ScaleCrop>false</ScaleCrop>
  <LinksUpToDate>false</LinksUpToDate>
  <CharactersWithSpaces>450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2023-10-08T22:40:00Z</dcterms:created>
  <dc:creator>Administrator</dc:creator>
  <cp:lastModifiedBy>Mint1398171869</cp:lastModifiedBy>
  <cp:lastPrinted>2024-11-20T05:51:00Z</cp:lastPrinted>
  <dcterms:modified xsi:type="dcterms:W3CDTF">2025-02-21T02:26:57Z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99A43AD86539464C99EC01C6C597EBB6_13</vt:lpwstr>
  </property>
  <property fmtid="{D5CDD505-2E9C-101B-9397-08002B2CF9AE}" pid="4" name="KSOTemplateDocerSaveRecord">
    <vt:lpwstr>eyJoZGlkIjoiMDdmNjUwM2Y1NDNmOWE2YzU2MTgyNGU5OGRlNTRlMDciLCJ1c2VySWQiOiIxNDYxNjAxNCJ9</vt:lpwstr>
  </property>
</Properties>
</file>