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宋体" w:eastAsia="方正小标宋简体"/>
          <w:color w:val="FF0000"/>
          <w:w w:val="70"/>
          <w:sz w:val="72"/>
          <w:szCs w:val="72"/>
          <w:highlight w:val="none"/>
          <w:lang w:eastAsia="zh-CN"/>
        </w:rPr>
      </w:pPr>
      <w:r>
        <w:rPr>
          <w:rFonts w:hint="eastAsia" w:ascii="方正小标宋简体" w:hAnsi="宋体" w:eastAsia="方正小标宋简体"/>
          <w:color w:val="FF0000"/>
          <w:w w:val="70"/>
          <w:sz w:val="72"/>
          <w:szCs w:val="72"/>
          <w:highlight w:val="none"/>
          <w:lang w:eastAsia="zh-CN"/>
        </w:rPr>
        <w:t>门头沟区</w:t>
      </w:r>
      <w:r>
        <w:rPr>
          <w:rFonts w:hint="eastAsia" w:ascii="方正小标宋简体" w:hAnsi="宋体" w:eastAsia="方正小标宋简体"/>
          <w:color w:val="FF0000"/>
          <w:w w:val="70"/>
          <w:sz w:val="72"/>
          <w:szCs w:val="72"/>
          <w:highlight w:val="none"/>
        </w:rPr>
        <w:t>政务公开领导小组办公室</w:t>
      </w:r>
      <w:r>
        <w:rPr>
          <w:rFonts w:hint="eastAsia" w:ascii="方正小标宋简体" w:hAnsi="宋体" w:eastAsia="方正小标宋简体"/>
          <w:color w:val="FF0000"/>
          <w:w w:val="70"/>
          <w:sz w:val="72"/>
          <w:szCs w:val="72"/>
          <w:highlight w:val="none"/>
          <w:lang w:eastAsia="zh-CN"/>
        </w:rPr>
        <w:t>文件</w:t>
      </w:r>
    </w:p>
    <w:p>
      <w:pPr>
        <w:pStyle w:val="4"/>
        <w:rPr>
          <w:rFonts w:hint="eastAsia"/>
          <w:highlight w:val="none"/>
          <w:lang w:eastAsia="zh-CN"/>
        </w:rPr>
      </w:pPr>
    </w:p>
    <w:p>
      <w:pPr>
        <w:pStyle w:val="4"/>
        <w:rPr>
          <w:rFonts w:hint="eastAsia"/>
          <w:highlight w:val="none"/>
          <w:lang w:eastAsia="zh-CN"/>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outlineLvl w:val="9"/>
        <w:rPr>
          <w:rFonts w:hint="eastAsia" w:ascii="仿宋_GB2312" w:hAnsi="仿宋" w:eastAsia="仿宋_GB2312" w:cs="仿宋"/>
          <w:sz w:val="32"/>
          <w:szCs w:val="32"/>
          <w:highlight w:val="none"/>
          <w:lang w:val="en-US" w:eastAsia="zh-CN"/>
        </w:rPr>
      </w:pPr>
      <w:r>
        <w:rPr>
          <w:rFonts w:hint="eastAsia" w:ascii="仿宋_GB2312" w:hAnsi="仿宋" w:eastAsia="仿宋_GB2312" w:cs="仿宋"/>
          <w:sz w:val="32"/>
          <w:szCs w:val="32"/>
          <w:highlight w:val="none"/>
        </w:rPr>
        <w:t>门</w:t>
      </w:r>
      <w:r>
        <w:rPr>
          <w:rFonts w:hint="eastAsia" w:ascii="仿宋_GB2312" w:hAnsi="仿宋" w:eastAsia="仿宋_GB2312" w:cs="仿宋"/>
          <w:sz w:val="32"/>
          <w:szCs w:val="32"/>
          <w:highlight w:val="none"/>
          <w:lang w:eastAsia="zh-CN"/>
        </w:rPr>
        <w:t>公开办发</w:t>
      </w:r>
      <w:r>
        <w:rPr>
          <w:rFonts w:hint="eastAsia" w:ascii="仿宋_GB2312" w:hAnsi="仿宋" w:eastAsia="仿宋_GB2312" w:cs="仿宋"/>
          <w:sz w:val="32"/>
          <w:szCs w:val="32"/>
          <w:highlight w:val="none"/>
        </w:rPr>
        <w:t>〔20</w:t>
      </w:r>
      <w:r>
        <w:rPr>
          <w:rFonts w:hint="eastAsia" w:ascii="仿宋_GB2312" w:hAnsi="仿宋" w:eastAsia="仿宋_GB2312" w:cs="仿宋"/>
          <w:sz w:val="32"/>
          <w:szCs w:val="32"/>
          <w:highlight w:val="none"/>
          <w:lang w:val="en-US" w:eastAsia="zh-CN"/>
        </w:rPr>
        <w:t>24</w:t>
      </w:r>
      <w:r>
        <w:rPr>
          <w:rFonts w:hint="eastAsia" w:ascii="仿宋_GB2312" w:hAnsi="仿宋" w:eastAsia="仿宋_GB2312" w:cs="仿宋"/>
          <w:sz w:val="32"/>
          <w:szCs w:val="32"/>
          <w:highlight w:val="none"/>
        </w:rPr>
        <w:t>〕</w:t>
      </w:r>
      <w:r>
        <w:rPr>
          <w:rFonts w:hint="eastAsia" w:ascii="仿宋_GB2312" w:hAnsi="仿宋" w:eastAsia="仿宋_GB2312" w:cs="仿宋"/>
          <w:sz w:val="32"/>
          <w:szCs w:val="32"/>
          <w:highlight w:val="none"/>
          <w:lang w:val="en-US" w:eastAsia="zh-CN"/>
        </w:rPr>
        <w:t>1</w:t>
      </w:r>
      <w:r>
        <w:rPr>
          <w:rFonts w:hint="eastAsia" w:ascii="仿宋_GB2312" w:hAnsi="仿宋" w:eastAsia="仿宋_GB2312" w:cs="仿宋"/>
          <w:sz w:val="32"/>
          <w:szCs w:val="32"/>
          <w:highlight w:val="none"/>
        </w:rPr>
        <w:t>号</w:t>
      </w:r>
    </w:p>
    <w:p>
      <w:pPr>
        <w:keepNext w:val="0"/>
        <w:keepLines w:val="0"/>
        <w:pageBreakBefore w:val="0"/>
        <w:widowControl w:val="0"/>
        <w:kinsoku/>
        <w:wordWrap/>
        <w:overflowPunct/>
        <w:topLinePunct w:val="0"/>
        <w:autoSpaceDE/>
        <w:autoSpaceDN/>
        <w:bidi w:val="0"/>
        <w:adjustRightInd/>
        <w:snapToGrid/>
        <w:spacing w:after="313" w:afterLines="100" w:line="640" w:lineRule="exact"/>
        <w:ind w:right="-92" w:rightChars="-44"/>
        <w:jc w:val="center"/>
        <w:textAlignment w:val="auto"/>
        <w:outlineLvl w:val="9"/>
        <w:rPr>
          <w:rFonts w:hint="eastAsia" w:ascii="华文中宋" w:hAnsi="华文中宋" w:eastAsia="华文中宋" w:cs="华文中宋"/>
          <w:sz w:val="44"/>
          <w:szCs w:val="44"/>
          <w:highlight w:val="none"/>
          <w:shd w:val="clear" w:color="auto" w:fill="FFFFFF"/>
        </w:rPr>
      </w:pPr>
      <w:r>
        <w:rPr>
          <w:rFonts w:ascii="华文中宋" w:hAnsi="华文中宋" w:eastAsia="华文中宋"/>
          <w:b/>
          <w:color w:val="FF0000"/>
          <w:spacing w:val="-20"/>
          <w:sz w:val="100"/>
          <w:szCs w:val="100"/>
          <w:highlight w:val="none"/>
        </w:rPr>
        <mc:AlternateContent>
          <mc:Choice Requires="wps">
            <w:drawing>
              <wp:anchor distT="0" distB="0" distL="114300" distR="114300" simplePos="0" relativeHeight="251659264" behindDoc="0" locked="0" layoutInCell="1" allowOverlap="1">
                <wp:simplePos x="0" y="0"/>
                <wp:positionH relativeFrom="column">
                  <wp:posOffset>-24765</wp:posOffset>
                </wp:positionH>
                <wp:positionV relativeFrom="paragraph">
                  <wp:posOffset>95250</wp:posOffset>
                </wp:positionV>
                <wp:extent cx="5588635" cy="15240"/>
                <wp:effectExtent l="0" t="0" r="0" b="0"/>
                <wp:wrapNone/>
                <wp:docPr id="2" name="直接连接符 2"/>
                <wp:cNvGraphicFramePr/>
                <a:graphic xmlns:a="http://schemas.openxmlformats.org/drawingml/2006/main">
                  <a:graphicData uri="http://schemas.microsoft.com/office/word/2010/wordprocessingShape">
                    <wps:wsp>
                      <wps:cNvCnPr/>
                      <wps:spPr>
                        <a:xfrm>
                          <a:off x="0" y="0"/>
                          <a:ext cx="5588635" cy="15240"/>
                        </a:xfrm>
                        <a:prstGeom prst="line">
                          <a:avLst/>
                        </a:prstGeom>
                        <a:ln w="28575" cap="flat" cmpd="thickThin">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95pt;margin-top:7.5pt;height:1.2pt;width:440.05pt;z-index:251659264;mso-width-relative:page;mso-height-relative:page;" filled="f" stroked="t" coordsize="21600,21600" o:gfxdata="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Rsf4y1gAAAAgBAAAPAAAAAAAAAAEAIAAAACIAAABkcnMv&#10;ZG93bnJldi54bWxQSwECFAAUAAAACACHTuJAoLmlqAUCAAD9AwAADgAAAAAAAAABACAAAAAlAQAA&#10;ZHJzL2Uyb0RvYy54bWxQSwUGAAAAAAYABgBZAQAAnAUAAAAA&#10;">
                <v:fill on="f" focussize="0,0"/>
                <v:stroke weight="2.25pt" color="#FF0000" linestyle="thickThin" joinstyle="round"/>
                <v:imagedata o:title=""/>
                <o:lock v:ext="edit" aspectratio="f"/>
              </v:line>
            </w:pict>
          </mc:Fallback>
        </mc:AlternateContent>
      </w:r>
    </w:p>
    <w:p>
      <w:pPr>
        <w:wordWrap w:val="0"/>
        <w:spacing w:line="660" w:lineRule="exact"/>
        <w:jc w:val="center"/>
        <w:rPr>
          <w:rFonts w:hint="eastAsia" w:ascii="方正小标宋简体" w:hAnsi="黑体" w:eastAsia="方正小标宋简体"/>
          <w:sz w:val="44"/>
          <w:szCs w:val="44"/>
          <w:highlight w:val="none"/>
        </w:rPr>
      </w:pPr>
      <w:r>
        <w:rPr>
          <w:rFonts w:hint="eastAsia" w:ascii="方正小标宋简体" w:hAnsi="黑体" w:eastAsia="方正小标宋简体"/>
          <w:sz w:val="44"/>
          <w:szCs w:val="44"/>
          <w:highlight w:val="none"/>
          <w:lang w:eastAsia="zh-CN"/>
        </w:rPr>
        <w:t>门头沟区</w:t>
      </w:r>
      <w:r>
        <w:rPr>
          <w:rFonts w:hint="eastAsia" w:ascii="方正小标宋简体" w:hAnsi="黑体" w:eastAsia="方正小标宋简体"/>
          <w:sz w:val="44"/>
          <w:szCs w:val="44"/>
          <w:highlight w:val="none"/>
        </w:rPr>
        <w:t>政务公开领导小组办公室关于印发《</w:t>
      </w:r>
      <w:r>
        <w:rPr>
          <w:rFonts w:hint="eastAsia" w:ascii="方正小标宋简体" w:hAnsi="黑体" w:eastAsia="方正小标宋简体"/>
          <w:sz w:val="44"/>
          <w:szCs w:val="44"/>
          <w:highlight w:val="none"/>
          <w:lang w:eastAsia="zh-CN"/>
        </w:rPr>
        <w:t>门头沟区</w:t>
      </w:r>
      <w:r>
        <w:rPr>
          <w:rFonts w:hint="eastAsia" w:ascii="方正小标宋简体" w:hAnsi="黑体" w:eastAsia="方正小标宋简体"/>
          <w:sz w:val="44"/>
          <w:szCs w:val="44"/>
          <w:highlight w:val="none"/>
        </w:rPr>
        <w:t>202</w:t>
      </w:r>
      <w:r>
        <w:rPr>
          <w:rFonts w:hint="eastAsia" w:ascii="方正小标宋简体" w:hAnsi="黑体" w:eastAsia="方正小标宋简体"/>
          <w:sz w:val="44"/>
          <w:szCs w:val="44"/>
          <w:highlight w:val="none"/>
          <w:lang w:val="en-US" w:eastAsia="zh-CN"/>
        </w:rPr>
        <w:t>4</w:t>
      </w:r>
      <w:r>
        <w:rPr>
          <w:rFonts w:hint="eastAsia" w:ascii="方正小标宋简体" w:hAnsi="黑体" w:eastAsia="方正小标宋简体"/>
          <w:sz w:val="44"/>
          <w:szCs w:val="44"/>
          <w:highlight w:val="none"/>
        </w:rPr>
        <w:t>年政务公开工作要点》</w:t>
      </w:r>
    </w:p>
    <w:p>
      <w:pPr>
        <w:wordWrap w:val="0"/>
        <w:spacing w:line="660" w:lineRule="exact"/>
        <w:jc w:val="center"/>
        <w:rPr>
          <w:rFonts w:hint="eastAsia" w:ascii="方正小标宋简体" w:hAnsi="黑体" w:eastAsia="方正小标宋简体"/>
          <w:sz w:val="44"/>
          <w:szCs w:val="44"/>
          <w:highlight w:val="none"/>
        </w:rPr>
      </w:pPr>
      <w:r>
        <w:rPr>
          <w:rFonts w:hint="eastAsia" w:ascii="方正小标宋简体" w:hAnsi="黑体" w:eastAsia="方正小标宋简体"/>
          <w:sz w:val="44"/>
          <w:szCs w:val="44"/>
          <w:highlight w:val="none"/>
        </w:rPr>
        <w:t>的通知</w:t>
      </w:r>
    </w:p>
    <w:p>
      <w:pPr>
        <w:pStyle w:val="8"/>
        <w:widowControl w:val="0"/>
        <w:adjustRightInd w:val="0"/>
        <w:snapToGrid w:val="0"/>
        <w:spacing w:before="0" w:beforeAutospacing="0" w:after="0" w:afterAutospacing="0" w:line="560" w:lineRule="exact"/>
        <w:ind w:firstLine="720" w:firstLineChars="200"/>
        <w:jc w:val="both"/>
        <w:rPr>
          <w:rFonts w:hint="eastAsia" w:ascii="楷体_GB2312" w:eastAsia="楷体_GB2312"/>
          <w:sz w:val="36"/>
          <w:szCs w:val="36"/>
          <w:highlight w:val="none"/>
        </w:rPr>
      </w:pPr>
    </w:p>
    <w:p>
      <w:pPr>
        <w:pStyle w:val="8"/>
        <w:widowControl w:val="0"/>
        <w:adjustRightInd w:val="0"/>
        <w:snapToGrid w:val="0"/>
        <w:spacing w:before="0" w:beforeAutospacing="0" w:after="0" w:afterAutospacing="0" w:line="560" w:lineRule="exact"/>
        <w:jc w:val="both"/>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各</w:t>
      </w:r>
      <w:r>
        <w:rPr>
          <w:rFonts w:hint="eastAsia" w:ascii="仿宋_GB2312" w:hAnsi="仿宋_GB2312" w:eastAsia="仿宋_GB2312" w:cs="仿宋_GB2312"/>
          <w:sz w:val="32"/>
          <w:szCs w:val="32"/>
          <w:highlight w:val="none"/>
          <w:lang w:eastAsia="zh-CN"/>
        </w:rPr>
        <w:t>相关单位、各镇街</w:t>
      </w:r>
      <w:r>
        <w:rPr>
          <w:rFonts w:hint="eastAsia" w:ascii="仿宋_GB2312" w:hAnsi="仿宋_GB2312" w:eastAsia="仿宋_GB2312" w:cs="仿宋_GB2312"/>
          <w:sz w:val="32"/>
          <w:szCs w:val="32"/>
          <w:highlight w:val="none"/>
        </w:rPr>
        <w:t>：</w:t>
      </w:r>
    </w:p>
    <w:p>
      <w:pPr>
        <w:pStyle w:val="8"/>
        <w:widowControl w:val="0"/>
        <w:adjustRightInd w:val="0"/>
        <w:snapToGrid w:val="0"/>
        <w:spacing w:before="0" w:beforeAutospacing="0" w:after="0" w:afterAutospacing="0" w:line="560" w:lineRule="exact"/>
        <w:ind w:firstLine="640" w:firstLineChars="200"/>
        <w:jc w:val="both"/>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为做好</w:t>
      </w:r>
      <w:r>
        <w:rPr>
          <w:rFonts w:hint="eastAsia" w:ascii="仿宋_GB2312" w:hAnsi="仿宋_GB2312" w:eastAsia="仿宋_GB2312" w:cs="仿宋_GB2312"/>
          <w:sz w:val="32"/>
          <w:szCs w:val="32"/>
          <w:highlight w:val="none"/>
          <w:lang w:val="en-US" w:eastAsia="zh-CN"/>
        </w:rPr>
        <w:t>2024年全区政务公开工作，不断提升政务公开服务实效，门头沟区政务公开领导小组制定了《门头沟区2024年政务公开工作要点》，</w:t>
      </w:r>
      <w:r>
        <w:rPr>
          <w:rFonts w:hint="eastAsia" w:ascii="仿宋_GB2312" w:hAnsi="仿宋_GB2312" w:eastAsia="仿宋_GB2312" w:cs="仿宋_GB2312"/>
          <w:sz w:val="32"/>
          <w:szCs w:val="32"/>
          <w:highlight w:val="none"/>
          <w:lang w:eastAsia="zh-CN"/>
        </w:rPr>
        <w:t>现印发给你们，请结合实际认真贯彻落实。</w:t>
      </w:r>
    </w:p>
    <w:p>
      <w:pPr>
        <w:pStyle w:val="8"/>
        <w:widowControl w:val="0"/>
        <w:adjustRightInd w:val="0"/>
        <w:snapToGrid w:val="0"/>
        <w:spacing w:before="0" w:beforeAutospacing="0" w:after="0" w:afterAutospacing="0" w:line="560" w:lineRule="exact"/>
        <w:ind w:firstLine="645"/>
        <w:jc w:val="both"/>
        <w:rPr>
          <w:rFonts w:hint="eastAsia" w:ascii="仿宋_GB2312" w:hAnsi="仿宋_GB2312" w:eastAsia="仿宋_GB2312" w:cs="仿宋_GB2312"/>
          <w:sz w:val="32"/>
          <w:szCs w:val="32"/>
          <w:highlight w:val="none"/>
        </w:rPr>
      </w:pPr>
    </w:p>
    <w:p>
      <w:pPr>
        <w:pStyle w:val="8"/>
        <w:widowControl w:val="0"/>
        <w:adjustRightInd w:val="0"/>
        <w:snapToGrid w:val="0"/>
        <w:spacing w:before="0" w:beforeAutospacing="0" w:after="0" w:afterAutospacing="0" w:line="560" w:lineRule="exact"/>
        <w:jc w:val="both"/>
        <w:rPr>
          <w:rFonts w:hint="eastAsia" w:ascii="仿宋_GB2312" w:hAnsi="仿宋_GB2312" w:eastAsia="仿宋_GB2312" w:cs="仿宋_GB2312"/>
          <w:sz w:val="32"/>
          <w:szCs w:val="32"/>
          <w:highlight w:val="none"/>
          <w:lang w:eastAsia="zh-CN"/>
        </w:rPr>
      </w:pPr>
    </w:p>
    <w:p>
      <w:pPr>
        <w:pStyle w:val="8"/>
        <w:widowControl w:val="0"/>
        <w:adjustRightInd w:val="0"/>
        <w:snapToGrid w:val="0"/>
        <w:spacing w:before="0" w:beforeAutospacing="0" w:after="0" w:afterAutospacing="0" w:line="560" w:lineRule="exact"/>
        <w:jc w:val="righ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门头沟区</w:t>
      </w:r>
      <w:r>
        <w:rPr>
          <w:rFonts w:hint="eastAsia" w:ascii="仿宋_GB2312" w:hAnsi="仿宋_GB2312" w:eastAsia="仿宋_GB2312" w:cs="仿宋_GB2312"/>
          <w:sz w:val="32"/>
          <w:szCs w:val="32"/>
          <w:highlight w:val="none"/>
        </w:rPr>
        <w:t>政务公开领导小组办公室</w:t>
      </w:r>
    </w:p>
    <w:p>
      <w:pPr>
        <w:pStyle w:val="8"/>
        <w:widowControl w:val="0"/>
        <w:adjustRightInd w:val="0"/>
        <w:snapToGrid w:val="0"/>
        <w:spacing w:before="0" w:beforeAutospacing="0" w:after="0" w:afterAutospacing="0" w:line="560" w:lineRule="exact"/>
        <w:jc w:val="righ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门头沟区</w:t>
      </w:r>
      <w:r>
        <w:rPr>
          <w:rFonts w:hint="eastAsia" w:ascii="仿宋_GB2312" w:hAnsi="仿宋_GB2312" w:eastAsia="仿宋_GB2312" w:cs="仿宋_GB2312"/>
          <w:sz w:val="32"/>
          <w:szCs w:val="32"/>
          <w:highlight w:val="none"/>
        </w:rPr>
        <w:t>政务服务管理局代章）</w:t>
      </w:r>
    </w:p>
    <w:p>
      <w:pPr>
        <w:pStyle w:val="8"/>
        <w:widowControl w:val="0"/>
        <w:adjustRightInd w:val="0"/>
        <w:snapToGrid w:val="0"/>
        <w:spacing w:before="0" w:beforeAutospacing="0" w:after="0" w:afterAutospacing="0" w:line="560" w:lineRule="exact"/>
        <w:ind w:firstLine="5120" w:firstLineChars="1600"/>
        <w:jc w:val="both"/>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29</w:t>
      </w:r>
      <w:r>
        <w:rPr>
          <w:rFonts w:hint="eastAsia" w:ascii="仿宋_GB2312" w:hAnsi="仿宋_GB2312" w:eastAsia="仿宋_GB2312" w:cs="仿宋_GB2312"/>
          <w:sz w:val="32"/>
          <w:szCs w:val="32"/>
          <w:highlight w:val="none"/>
        </w:rPr>
        <w:t>日</w:t>
      </w:r>
    </w:p>
    <w:p>
      <w:pPr>
        <w:pStyle w:val="8"/>
        <w:widowControl w:val="0"/>
        <w:adjustRightInd w:val="0"/>
        <w:snapToGrid w:val="0"/>
        <w:spacing w:before="0" w:beforeAutospacing="0" w:after="0" w:afterAutospacing="0" w:line="560" w:lineRule="exact"/>
        <w:ind w:firstLine="5120" w:firstLineChars="1600"/>
        <w:jc w:val="both"/>
        <w:rPr>
          <w:rFonts w:hint="eastAsia" w:ascii="仿宋_GB2312" w:hAnsi="仿宋_GB2312" w:eastAsia="仿宋_GB2312" w:cs="仿宋_GB2312"/>
          <w:sz w:val="32"/>
          <w:szCs w:val="32"/>
          <w:highlight w:val="none"/>
        </w:rPr>
      </w:pPr>
    </w:p>
    <w:p>
      <w:pPr>
        <w:pStyle w:val="8"/>
        <w:widowControl w:val="0"/>
        <w:adjustRightInd w:val="0"/>
        <w:snapToGrid w:val="0"/>
        <w:spacing w:before="0" w:beforeAutospacing="0" w:after="0" w:afterAutospacing="0" w:line="560" w:lineRule="exact"/>
        <w:ind w:firstLine="5120" w:firstLineChars="1600"/>
        <w:jc w:val="both"/>
        <w:rPr>
          <w:rFonts w:hint="eastAsia" w:ascii="仿宋_GB2312" w:hAnsi="仿宋_GB2312" w:eastAsia="仿宋_GB2312" w:cs="仿宋_GB2312"/>
          <w:sz w:val="32"/>
          <w:szCs w:val="32"/>
          <w:highlight w:val="none"/>
        </w:rPr>
      </w:pPr>
      <w:bookmarkStart w:id="0" w:name="_GoBack"/>
      <w:bookmarkEnd w:id="0"/>
    </w:p>
    <w:p>
      <w:pPr>
        <w:pStyle w:val="8"/>
        <w:widowControl w:val="0"/>
        <w:adjustRightInd w:val="0"/>
        <w:snapToGrid w:val="0"/>
        <w:spacing w:before="0" w:beforeAutospacing="0" w:after="0" w:afterAutospacing="0" w:line="560" w:lineRule="exact"/>
        <w:ind w:firstLine="5120" w:firstLineChars="1600"/>
        <w:jc w:val="both"/>
        <w:rPr>
          <w:rFonts w:hint="eastAsia" w:ascii="楷体_GB2312" w:hAnsi="楷体" w:eastAsia="楷体_GB2312"/>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color w:val="auto"/>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lang w:val="en-US" w:eastAsia="zh-CN"/>
        </w:rPr>
        <w:sectPr>
          <w:pgSz w:w="11906" w:h="16838"/>
          <w:pgMar w:top="1440" w:right="1486" w:bottom="1440" w:left="1800" w:header="851" w:footer="992" w:gutter="0"/>
          <w:pgNumType w:fmt="decimal" w:start="1"/>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val="en-US" w:eastAsia="zh-CN"/>
        </w:rPr>
        <w:t>门头沟区</w:t>
      </w:r>
      <w:r>
        <w:rPr>
          <w:rFonts w:hint="eastAsia" w:ascii="方正小标宋简体" w:hAnsi="方正小标宋简体" w:eastAsia="方正小标宋简体" w:cs="方正小标宋简体"/>
          <w:color w:val="auto"/>
          <w:sz w:val="44"/>
          <w:szCs w:val="44"/>
        </w:rPr>
        <w:t>2024年政务公开工作要点</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2024年是中华人民共和国成立75周年，是实现“十四五”规划目标任务的关键一年，也是深化新时代政务公开、全面提升政策服务质效的攻坚之年。为进一步加强</w:t>
      </w:r>
      <w:r>
        <w:rPr>
          <w:rFonts w:hint="eastAsia" w:ascii="仿宋_GB2312" w:hAnsi="仿宋_GB2312" w:eastAsia="仿宋_GB2312" w:cs="仿宋_GB2312"/>
          <w:color w:val="auto"/>
          <w:sz w:val="32"/>
          <w:szCs w:val="32"/>
          <w:lang w:val="en-US" w:eastAsia="zh-CN"/>
        </w:rPr>
        <w:t>本区</w:t>
      </w:r>
      <w:r>
        <w:rPr>
          <w:rFonts w:hint="eastAsia" w:ascii="仿宋_GB2312" w:hAnsi="仿宋_GB2312" w:eastAsia="仿宋_GB2312" w:cs="仿宋_GB2312"/>
          <w:color w:val="auto"/>
          <w:sz w:val="32"/>
          <w:szCs w:val="32"/>
        </w:rPr>
        <w:t>政务公开工作，制定本要点。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国标黑体" w:hAnsi="国标黑体" w:eastAsia="国标黑体" w:cs="国标黑体"/>
          <w:color w:val="auto"/>
          <w:sz w:val="32"/>
          <w:szCs w:val="32"/>
        </w:rPr>
      </w:pPr>
      <w:r>
        <w:rPr>
          <w:rFonts w:hint="eastAsia" w:ascii="国标黑体" w:hAnsi="国标黑体" w:eastAsia="国标黑体" w:cs="国标黑体"/>
          <w:color w:val="auto"/>
          <w:sz w:val="32"/>
          <w:szCs w:val="32"/>
        </w:rPr>
        <w:t>一、总体要求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（一）指导思想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坚持以习近平新时代中国特色社会主义思想为指导，全面贯彻落实党的二十大和二十届二中全会精神，深入贯彻习近平总书记对北京重要讲话精神，紧紧围绕</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委、</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政府中心工作，全过程推进政务公开，全流程优化政策服务，全链条加强政务信息管理，全环节夯实工作基础，更好发挥以公开促落实、促规范、促服务、强监管的作用，助力推动首都经济社会高质量发展，为中国式现代化的北京篇章贡献力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（二）基本原则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坚持依法规范。严格履行法定公开义务，落实《中华人民共和国政府信息公开条例》，深化政务公开全清单标准，处理好公开与保密的关系，强化重点领域政务信息管理。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坚持服务为民。聚焦群众企业需求提供优质政务信息服务，切实保障群众企业知情权、参与权、表达权、监督权，提升群众企业获得感、认同感。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坚持改革创新。以全面提升政策服务质效为着力点，创新政策服务体制机制、方式方法、技术手段，强化政务数据汇聚分析、挖掘治理，推动政务公开平台智能集约发展。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坚持精准高效。以大数据理念提升政务公开的科学性、有效性，以政策精细化管理提升政策服务的及时性、覆盖度，为群众企业提供个性化定制化政务公开产品。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（三）工作目标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2024年，全</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政务公开将准确把握新时代政务公开新形势新要求，围绕高质量发展、城市精细化治理、保障和改善民生、政府自身建设等重点领域，强化政务信息公开管理、提升行政透明度，</w:t>
      </w:r>
      <w:r>
        <w:rPr>
          <w:rFonts w:hint="eastAsia" w:ascii="仿宋_GB2312" w:eastAsia="仿宋_GB2312"/>
          <w:color w:val="auto"/>
          <w:sz w:val="32"/>
          <w:szCs w:val="32"/>
        </w:rPr>
        <w:t>推动公开工作导向从“全面全量”向“精细精准”转变；强化政策制定标准规范</w:t>
      </w:r>
      <w:r>
        <w:rPr>
          <w:rFonts w:hint="eastAsia" w:ascii="仿宋_GB2312" w:eastAsia="仿宋_GB2312"/>
          <w:color w:val="auto"/>
          <w:sz w:val="32"/>
          <w:szCs w:val="32"/>
          <w:lang w:eastAsia="zh-CN"/>
        </w:rPr>
        <w:t>，</w:t>
      </w:r>
      <w:r>
        <w:rPr>
          <w:rFonts w:hint="eastAsia" w:ascii="仿宋_GB2312" w:eastAsia="仿宋_GB2312"/>
          <w:color w:val="auto"/>
          <w:sz w:val="32"/>
          <w:szCs w:val="32"/>
        </w:rPr>
        <w:t>提升政策服务质效，推动公开服务理念从“广泛推送”向“精准触达”转变；强化政务公开能力建设，夯实公开工作基础，推动公开工作模式从“整体推进”</w:t>
      </w:r>
      <w:r>
        <w:rPr>
          <w:rFonts w:hint="eastAsia" w:ascii="仿宋_GB2312" w:eastAsia="仿宋_GB2312"/>
          <w:color w:val="auto"/>
          <w:sz w:val="32"/>
          <w:szCs w:val="32"/>
          <w:lang w:eastAsia="zh-CN"/>
        </w:rPr>
        <w:t>向</w:t>
      </w:r>
      <w:r>
        <w:rPr>
          <w:rFonts w:hint="eastAsia" w:ascii="仿宋_GB2312" w:eastAsia="仿宋_GB2312"/>
          <w:color w:val="auto"/>
          <w:sz w:val="32"/>
          <w:szCs w:val="32"/>
        </w:rPr>
        <w:t>“高效协同”转变</w:t>
      </w:r>
      <w:r>
        <w:rPr>
          <w:rFonts w:hint="default" w:ascii="仿宋_GB2312" w:eastAsia="仿宋_GB2312"/>
          <w:color w:val="auto"/>
          <w:sz w:val="32"/>
          <w:szCs w:val="32"/>
          <w:lang w:val="en-US"/>
        </w:rPr>
        <w:t>,</w:t>
      </w:r>
      <w:r>
        <w:rPr>
          <w:rFonts w:hint="eastAsia" w:ascii="仿宋_GB2312" w:eastAsia="仿宋_GB2312"/>
          <w:color w:val="auto"/>
          <w:sz w:val="32"/>
          <w:szCs w:val="32"/>
        </w:rPr>
        <w:t>政务公开制度更加健全，</w:t>
      </w:r>
      <w:r>
        <w:rPr>
          <w:rFonts w:hint="eastAsia" w:ascii="仿宋_GB2312" w:hAnsi="仿宋_GB2312" w:eastAsia="仿宋_GB2312" w:cs="仿宋_GB2312"/>
          <w:color w:val="auto"/>
          <w:sz w:val="32"/>
          <w:szCs w:val="32"/>
        </w:rPr>
        <w:t>公开内容质量有效提升，公开平台功能实现优化，公开工作整体水平稳步提升。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国标黑体" w:hAnsi="国标黑体" w:eastAsia="国标黑体" w:cs="国标黑体"/>
          <w:color w:val="auto"/>
          <w:sz w:val="32"/>
          <w:szCs w:val="32"/>
        </w:rPr>
      </w:pPr>
      <w:r>
        <w:rPr>
          <w:rFonts w:hint="eastAsia" w:ascii="国标黑体" w:hAnsi="国标黑体" w:eastAsia="国标黑体" w:cs="国标黑体"/>
          <w:color w:val="auto"/>
          <w:sz w:val="32"/>
          <w:szCs w:val="32"/>
        </w:rPr>
        <w:t>二、深化重点领域信息公开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（一）围绕高质量发展推进政府信息专题公开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1.做好京津冀协同发展、疏解整治促提升等方面的信息公开，及时发布经济社会发展、扩大内需优化供给等相关政策信息，做好打造“北京服务”营商环境品牌、持续深化全国统一大市场和民营经济等重点领域改革措施的发布解读。</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eastAsia="zh-CN"/>
        </w:rPr>
        <w:t>区</w:t>
      </w:r>
      <w:r>
        <w:rPr>
          <w:rFonts w:hint="eastAsia" w:ascii="楷体_GB2312" w:hAnsi="楷体_GB2312" w:eastAsia="楷体_GB2312" w:cs="楷体_GB2312"/>
          <w:color w:val="auto"/>
          <w:sz w:val="32"/>
          <w:szCs w:val="32"/>
        </w:rPr>
        <w:t>发改委负责落实，完成时限：2024年10月）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rPr>
          <w:rFonts w:hint="eastAsia" w:ascii="楷体_GB2312" w:hAnsi="楷体_GB2312" w:eastAsia="楷体_GB2312" w:cs="楷体_GB2312"/>
          <w:color w:val="auto"/>
          <w:sz w:val="32"/>
          <w:szCs w:val="32"/>
        </w:rPr>
      </w:pPr>
      <w:r>
        <w:rPr>
          <w:rFonts w:hint="eastAsia" w:ascii="仿宋_GB2312" w:hAnsi="仿宋_GB2312" w:eastAsia="仿宋_GB2312" w:cs="仿宋_GB2312"/>
          <w:b w:val="0"/>
          <w:bCs w:val="0"/>
          <w:color w:val="auto"/>
          <w:kern w:val="2"/>
          <w:sz w:val="32"/>
          <w:szCs w:val="32"/>
          <w:lang w:val="en-US" w:eastAsia="zh-CN" w:bidi="ar-SA"/>
        </w:rPr>
        <w:t>2.做好国际科技创新中心建设、战略科技力量整体效能提升、科技体制改革攻坚等方面的信息公开工作，重点公开推进新型研发机构、创新基地、科技领军企业加快发展，加速科技成果转化落地的政策信息。做好打造高品质特色产业园区、特色专业化空间载体等阶段性成果的信息公开。</w:t>
      </w:r>
      <w:r>
        <w:rPr>
          <w:rFonts w:hint="eastAsia" w:ascii="楷体_GB2312" w:hAnsi="楷体_GB2312" w:eastAsia="楷体_GB2312" w:cs="楷体_GB2312"/>
          <w:b w:val="0"/>
          <w:bCs w:val="0"/>
          <w:color w:val="auto"/>
          <w:kern w:val="2"/>
          <w:sz w:val="32"/>
          <w:szCs w:val="32"/>
          <w:lang w:val="en-US" w:eastAsia="zh-CN" w:bidi="ar-SA"/>
        </w:rPr>
        <w:t>(区科信局、中关村门头沟园管委会负责落实，完成时限：2024年10月)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3.持续推进高精尖产业发展、全球数字经济标杆城市建设、中小企业高质量发展等方面信息公开，重点做好高精尖产业体系构建、未来产业培育、数据基础设施建设、数字经济产业发展、支持中小企业专精特新发展等政策信息的发布解读。</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val="en-US" w:eastAsia="zh-CN"/>
        </w:rPr>
        <w:t>区科信局</w:t>
      </w:r>
      <w:r>
        <w:rPr>
          <w:rFonts w:hint="eastAsia" w:ascii="楷体_GB2312" w:hAnsi="楷体_GB2312" w:eastAsia="楷体_GB2312" w:cs="楷体_GB2312"/>
          <w:color w:val="auto"/>
          <w:sz w:val="32"/>
          <w:szCs w:val="32"/>
        </w:rPr>
        <w:t>负责落实，完成时限：2024年10月）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4.围绕“两区”建设、培育建设国际消费中心城市等方面做好信息公开，重点做好“两区”高水平制度型开放、“一圈一策”深化商圈品质提升行动，商业步行街、一刻钟便民生活圈建设，首店首发引进、北京老字号品牌建设等方面政策信息的发布解读。</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val="en-US" w:eastAsia="zh-CN"/>
        </w:rPr>
        <w:t>区</w:t>
      </w:r>
      <w:r>
        <w:rPr>
          <w:rFonts w:hint="eastAsia" w:ascii="楷体_GB2312" w:hAnsi="楷体_GB2312" w:eastAsia="楷体_GB2312" w:cs="楷体_GB2312"/>
          <w:color w:val="auto"/>
          <w:sz w:val="32"/>
          <w:szCs w:val="32"/>
        </w:rPr>
        <w:t>商务局负责落实，完成时限：2024年10月）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5.做好深化商事登记制度改革、一体化综合监管信息公开，及时发布阶段性政策措施和成果。持续推进反垄断和反不正当竞争执法信息公开。做好审批制度改革、“一业一证”和“一件事”集成服务改革、智慧城市建设等方面信息公开。</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eastAsia="zh-CN"/>
        </w:rPr>
        <w:t>区</w:t>
      </w:r>
      <w:r>
        <w:rPr>
          <w:rFonts w:hint="eastAsia" w:ascii="楷体_GB2312" w:hAnsi="楷体_GB2312" w:eastAsia="楷体_GB2312" w:cs="楷体_GB2312"/>
          <w:color w:val="auto"/>
          <w:sz w:val="32"/>
          <w:szCs w:val="32"/>
        </w:rPr>
        <w:t>市场监管局、</w:t>
      </w:r>
      <w:r>
        <w:rPr>
          <w:rFonts w:hint="eastAsia" w:ascii="楷体_GB2312" w:hAnsi="楷体_GB2312" w:eastAsia="楷体_GB2312" w:cs="楷体_GB2312"/>
          <w:color w:val="auto"/>
          <w:sz w:val="32"/>
          <w:szCs w:val="32"/>
          <w:lang w:eastAsia="zh-CN"/>
        </w:rPr>
        <w:t>区</w:t>
      </w:r>
      <w:r>
        <w:rPr>
          <w:rFonts w:hint="eastAsia" w:ascii="楷体_GB2312" w:hAnsi="楷体_GB2312" w:eastAsia="楷体_GB2312" w:cs="楷体_GB2312"/>
          <w:color w:val="auto"/>
          <w:sz w:val="32"/>
          <w:szCs w:val="32"/>
        </w:rPr>
        <w:t>政务服务局分别负责落实，完成时限：2024年10月）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（二）围绕城市精细化治理推进政府信息专题公开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1.及时公开老旧小区综合整治推进实施情况，发布老旧小区改造和加装电梯成果典型案例。加强房屋租赁政策宣传解读，做好确保房地产市场平稳运行相关政策的发布和解读，及时发布保障性住房建设、提升物业和房屋安全管理、推进建筑业转型升级、加强工程建设和管理等方面政策信息。</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eastAsia="zh-CN"/>
        </w:rPr>
        <w:t>区</w:t>
      </w:r>
      <w:r>
        <w:rPr>
          <w:rFonts w:hint="eastAsia" w:ascii="楷体_GB2312" w:hAnsi="楷体_GB2312" w:eastAsia="楷体_GB2312" w:cs="楷体_GB2312"/>
          <w:color w:val="auto"/>
          <w:sz w:val="32"/>
          <w:szCs w:val="32"/>
        </w:rPr>
        <w:t>住建委负责落实，完成时限：2024年10月）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rPr>
        <w:t>2.持续做好生活垃圾分类、重点区域环境整治提升、背街小巷环境精细化治理、充电基础设施建设、城市环境和运行突出问题攻坚执法检查等方面信息公开。</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eastAsia="zh-CN"/>
        </w:rPr>
        <w:t>区</w:t>
      </w:r>
      <w:r>
        <w:rPr>
          <w:rFonts w:hint="eastAsia" w:ascii="楷体_GB2312" w:hAnsi="楷体_GB2312" w:eastAsia="楷体_GB2312" w:cs="楷体_GB2312"/>
          <w:color w:val="auto"/>
          <w:sz w:val="32"/>
          <w:szCs w:val="32"/>
        </w:rPr>
        <w:t>城管委、</w:t>
      </w:r>
      <w:r>
        <w:rPr>
          <w:rFonts w:hint="eastAsia" w:ascii="楷体_GB2312" w:hAnsi="楷体_GB2312" w:eastAsia="楷体_GB2312" w:cs="楷体_GB2312"/>
          <w:color w:val="auto"/>
          <w:sz w:val="32"/>
          <w:szCs w:val="32"/>
          <w:lang w:eastAsia="zh-CN"/>
        </w:rPr>
        <w:t>区</w:t>
      </w:r>
      <w:r>
        <w:rPr>
          <w:rFonts w:hint="eastAsia" w:ascii="楷体_GB2312" w:hAnsi="楷体_GB2312" w:eastAsia="楷体_GB2312" w:cs="楷体_GB2312"/>
          <w:color w:val="auto"/>
          <w:sz w:val="32"/>
          <w:szCs w:val="32"/>
        </w:rPr>
        <w:t>城管执</w:t>
      </w:r>
      <w:r>
        <w:rPr>
          <w:rFonts w:hint="eastAsia" w:ascii="楷体_GB2312" w:hAnsi="楷体_GB2312" w:eastAsia="楷体_GB2312" w:cs="楷体_GB2312"/>
          <w:color w:val="auto"/>
          <w:sz w:val="32"/>
          <w:szCs w:val="32"/>
          <w:highlight w:val="none"/>
        </w:rPr>
        <w:t>法局分别负责落实，完成时限：2024年10月）</w:t>
      </w:r>
      <w:r>
        <w:rPr>
          <w:rFonts w:hint="eastAsia" w:ascii="仿宋_GB2312" w:hAnsi="仿宋_GB2312" w:eastAsia="仿宋_GB2312" w:cs="仿宋_GB2312"/>
          <w:color w:val="auto"/>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仿宋_GB2312" w:hAnsi="仿宋_GB2312" w:eastAsia="仿宋_GB2312" w:cs="仿宋_GB2312"/>
          <w:color w:val="auto"/>
          <w:sz w:val="32"/>
          <w:szCs w:val="32"/>
          <w:highlight w:val="none"/>
        </w:rPr>
        <w:t>3.做好全域国家森林城市、生态文化建设等方面信息公开，及时发布建设花园城市示范街区、小微绿地进展情况。</w:t>
      </w: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eastAsia="zh-CN"/>
        </w:rPr>
        <w:t>区</w:t>
      </w:r>
      <w:r>
        <w:rPr>
          <w:rFonts w:hint="eastAsia" w:ascii="楷体_GB2312" w:hAnsi="楷体_GB2312" w:eastAsia="楷体_GB2312" w:cs="楷体_GB2312"/>
          <w:color w:val="auto"/>
          <w:sz w:val="32"/>
          <w:szCs w:val="32"/>
          <w:highlight w:val="none"/>
        </w:rPr>
        <w:t>园林绿化局负责落实，完成时限：2024年10月）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highlight w:val="none"/>
        </w:rPr>
        <w:t>4.加强京津冀协同发展生态环境保护相关信息公开，及时</w:t>
      </w:r>
      <w:r>
        <w:rPr>
          <w:rFonts w:hint="eastAsia" w:ascii="仿宋_GB2312" w:hAnsi="仿宋_GB2312" w:eastAsia="仿宋_GB2312" w:cs="仿宋_GB2312"/>
          <w:color w:val="auto"/>
          <w:sz w:val="32"/>
          <w:szCs w:val="32"/>
          <w:highlight w:val="none"/>
          <w:lang w:val="en-US" w:eastAsia="zh-CN"/>
        </w:rPr>
        <w:t>转发</w:t>
      </w:r>
      <w:r>
        <w:rPr>
          <w:rFonts w:hint="eastAsia" w:ascii="仿宋_GB2312" w:hAnsi="仿宋_GB2312" w:eastAsia="仿宋_GB2312" w:cs="仿宋_GB2312"/>
          <w:color w:val="auto"/>
          <w:sz w:val="32"/>
          <w:szCs w:val="32"/>
          <w:highlight w:val="none"/>
        </w:rPr>
        <w:t>本市污染防治工作情况和阶段性进展信息，发布全</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环境空气质量状况，全</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大中型水库、重点湖泊、主要河</w:t>
      </w:r>
      <w:r>
        <w:rPr>
          <w:rFonts w:hint="eastAsia" w:ascii="仿宋_GB2312" w:hAnsi="仿宋_GB2312" w:eastAsia="仿宋_GB2312" w:cs="仿宋_GB2312"/>
          <w:color w:val="auto"/>
          <w:sz w:val="32"/>
          <w:szCs w:val="32"/>
        </w:rPr>
        <w:t>流月度水质状况和</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级集中式饮用水水源地水质情况。加强重点水利工程建设信息公开，及时发布灾后恢复重建、地下水监测和超采综合治理信息。持续做好推进水资源节约集约利用、城乡水环境治理、加强水生态保护修复工作等方面信息公开。</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eastAsia="zh-CN"/>
        </w:rPr>
        <w:t>区</w:t>
      </w:r>
      <w:r>
        <w:rPr>
          <w:rFonts w:hint="eastAsia" w:ascii="楷体_GB2312" w:hAnsi="楷体_GB2312" w:eastAsia="楷体_GB2312" w:cs="楷体_GB2312"/>
          <w:color w:val="auto"/>
          <w:sz w:val="32"/>
          <w:szCs w:val="32"/>
        </w:rPr>
        <w:t>生态环境局、</w:t>
      </w:r>
      <w:r>
        <w:rPr>
          <w:rFonts w:hint="eastAsia" w:ascii="楷体_GB2312" w:hAnsi="楷体_GB2312" w:eastAsia="楷体_GB2312" w:cs="楷体_GB2312"/>
          <w:color w:val="auto"/>
          <w:sz w:val="32"/>
          <w:szCs w:val="32"/>
          <w:lang w:val="en-US" w:eastAsia="zh-CN"/>
        </w:rPr>
        <w:t xml:space="preserve"> 区</w:t>
      </w:r>
      <w:r>
        <w:rPr>
          <w:rFonts w:hint="eastAsia" w:ascii="楷体_GB2312" w:hAnsi="楷体_GB2312" w:eastAsia="楷体_GB2312" w:cs="楷体_GB2312"/>
          <w:color w:val="auto"/>
          <w:sz w:val="32"/>
          <w:szCs w:val="32"/>
        </w:rPr>
        <w:t xml:space="preserve">水务局分别负责落实，完成时限：2024年10月）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 xml:space="preserve">（三）围绕保障和改善民生推进政府信息专题公开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1.加强本</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在就业帮扶、规范市场建设、职业技能培训等方面的信息公开。及时发布本</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就业服务专项招聘活动、创业孵化示范基地认定结果、创业创新大赛等信息。持续做好本区人事考试工作计划、积分落户工作及京津冀人力资源服务区域协同地方标准等方面信息公开。</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val="en-US" w:eastAsia="zh-CN"/>
        </w:rPr>
        <w:t>区</w:t>
      </w:r>
      <w:r>
        <w:rPr>
          <w:rFonts w:hint="eastAsia" w:ascii="楷体_GB2312" w:hAnsi="楷体_GB2312" w:eastAsia="楷体_GB2312" w:cs="楷体_GB2312"/>
          <w:color w:val="auto"/>
          <w:sz w:val="32"/>
          <w:szCs w:val="32"/>
        </w:rPr>
        <w:t>人保</w:t>
      </w:r>
      <w:r>
        <w:rPr>
          <w:rFonts w:hint="eastAsia" w:ascii="楷体_GB2312" w:hAnsi="楷体_GB2312" w:eastAsia="楷体_GB2312" w:cs="楷体_GB2312"/>
          <w:color w:val="auto"/>
          <w:sz w:val="32"/>
          <w:szCs w:val="32"/>
          <w:lang w:val="en-US" w:eastAsia="zh-CN"/>
        </w:rPr>
        <w:t>局</w:t>
      </w:r>
      <w:r>
        <w:rPr>
          <w:rFonts w:hint="eastAsia" w:ascii="楷体_GB2312" w:hAnsi="楷体_GB2312" w:eastAsia="楷体_GB2312" w:cs="楷体_GB2312"/>
          <w:color w:val="auto"/>
          <w:sz w:val="32"/>
          <w:szCs w:val="32"/>
        </w:rPr>
        <w:t xml:space="preserve">负责落实，完成时限：2024年10月）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2.持续推进健全养老服务体系、社会救助领域信息公开，及时</w:t>
      </w:r>
      <w:r>
        <w:rPr>
          <w:rFonts w:hint="eastAsia" w:ascii="仿宋_GB2312" w:hAnsi="仿宋_GB2312" w:eastAsia="仿宋_GB2312" w:cs="仿宋_GB2312"/>
          <w:color w:val="auto"/>
          <w:sz w:val="32"/>
          <w:szCs w:val="32"/>
          <w:lang w:val="en-US" w:eastAsia="zh-CN"/>
        </w:rPr>
        <w:t>转发</w:t>
      </w:r>
      <w:r>
        <w:rPr>
          <w:rFonts w:hint="eastAsia" w:ascii="仿宋_GB2312" w:hAnsi="仿宋_GB2312" w:eastAsia="仿宋_GB2312" w:cs="仿宋_GB2312"/>
          <w:color w:val="auto"/>
          <w:sz w:val="32"/>
          <w:szCs w:val="32"/>
        </w:rPr>
        <w:t>全市城乡低保、特困人员数量和资金支出情况，全</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临时救助人次数和资金支出情况，高等教育新生入学救助人次数和资金支出情况。</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eastAsia="zh-CN"/>
        </w:rPr>
        <w:t>区</w:t>
      </w:r>
      <w:r>
        <w:rPr>
          <w:rFonts w:hint="eastAsia" w:ascii="楷体_GB2312" w:hAnsi="楷体_GB2312" w:eastAsia="楷体_GB2312" w:cs="楷体_GB2312"/>
          <w:color w:val="auto"/>
          <w:sz w:val="32"/>
          <w:szCs w:val="32"/>
        </w:rPr>
        <w:t xml:space="preserve">民政局负责落实，完成时限：2024年10月）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3.做好卫生服务站基本诊疗设施建设信息公开，及时发布儿科医联体、实施中医药振兴发展重大工程的进展情况。做好普惠托育体系建设、新增中小学学位、学科类机构常态化监管、民办教育规范发展等信息公开。</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eastAsia="zh-CN"/>
        </w:rPr>
        <w:t>区</w:t>
      </w:r>
      <w:r>
        <w:rPr>
          <w:rFonts w:hint="eastAsia" w:ascii="楷体_GB2312" w:hAnsi="楷体_GB2312" w:eastAsia="楷体_GB2312" w:cs="楷体_GB2312"/>
          <w:color w:val="auto"/>
          <w:sz w:val="32"/>
          <w:szCs w:val="32"/>
        </w:rPr>
        <w:t>卫生健康委、</w:t>
      </w:r>
      <w:r>
        <w:rPr>
          <w:rFonts w:hint="eastAsia" w:ascii="楷体_GB2312" w:hAnsi="楷体_GB2312" w:eastAsia="楷体_GB2312" w:cs="楷体_GB2312"/>
          <w:color w:val="auto"/>
          <w:sz w:val="32"/>
          <w:szCs w:val="32"/>
          <w:lang w:eastAsia="zh-CN"/>
        </w:rPr>
        <w:t>区</w:t>
      </w:r>
      <w:r>
        <w:rPr>
          <w:rFonts w:hint="eastAsia" w:ascii="楷体_GB2312" w:hAnsi="楷体_GB2312" w:eastAsia="楷体_GB2312" w:cs="楷体_GB2312"/>
          <w:color w:val="auto"/>
          <w:sz w:val="32"/>
          <w:szCs w:val="32"/>
        </w:rPr>
        <w:t>教委分别负责落实，完成时限：2024年10月）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4.及时、规范、集中发布药品监管重要动态信息，持续做好“全国安全用药月”“医疗器械安全宣传周”“化妆品安全科普宣传周”等主题活动信息公开。</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eastAsia="zh-CN"/>
        </w:rPr>
        <w:t>区</w:t>
      </w:r>
      <w:r>
        <w:rPr>
          <w:rFonts w:hint="eastAsia" w:ascii="楷体_GB2312" w:hAnsi="楷体_GB2312" w:eastAsia="楷体_GB2312" w:cs="楷体_GB2312"/>
          <w:color w:val="auto"/>
          <w:sz w:val="32"/>
          <w:szCs w:val="32"/>
        </w:rPr>
        <w:t>医保局、</w:t>
      </w:r>
      <w:r>
        <w:rPr>
          <w:rFonts w:hint="eastAsia" w:ascii="楷体_GB2312" w:hAnsi="楷体_GB2312" w:eastAsia="楷体_GB2312" w:cs="楷体_GB2312"/>
          <w:b w:val="0"/>
          <w:color w:val="auto"/>
          <w:kern w:val="0"/>
          <w:sz w:val="31"/>
          <w:szCs w:val="31"/>
          <w:highlight w:val="none"/>
          <w:lang w:val="en-US" w:eastAsia="zh-CN" w:bidi="ar"/>
        </w:rPr>
        <w:t>区市场监管</w:t>
      </w:r>
      <w:r>
        <w:rPr>
          <w:rFonts w:ascii="楷体_GB2312" w:hAnsi="楷体_GB2312" w:eastAsia="楷体_GB2312" w:cs="楷体_GB2312"/>
          <w:b w:val="0"/>
          <w:color w:val="auto"/>
          <w:kern w:val="0"/>
          <w:sz w:val="31"/>
          <w:szCs w:val="31"/>
          <w:highlight w:val="none"/>
          <w:lang w:val="en-US" w:eastAsia="zh-CN" w:bidi="ar"/>
        </w:rPr>
        <w:t>局</w:t>
      </w:r>
      <w:r>
        <w:rPr>
          <w:rFonts w:hint="eastAsia" w:ascii="楷体_GB2312" w:hAnsi="楷体_GB2312" w:eastAsia="楷体_GB2312" w:cs="楷体_GB2312"/>
          <w:color w:val="auto"/>
          <w:sz w:val="32"/>
          <w:szCs w:val="32"/>
        </w:rPr>
        <w:t>分别负责落实，完成时限：2024年10月）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5.做好落实耕地保护制度和种粮补贴政策、深入实施蔬菜产业高质量发展行动等方面信息公开工作。及时发布发展</w:t>
      </w:r>
      <w:r>
        <w:rPr>
          <w:rFonts w:hint="eastAsia" w:ascii="仿宋_GB2312" w:hAnsi="仿宋_GB2312" w:eastAsia="仿宋_GB2312" w:cs="仿宋_GB2312"/>
          <w:color w:val="auto"/>
          <w:sz w:val="32"/>
          <w:szCs w:val="32"/>
          <w:lang w:val="en-US" w:eastAsia="zh-CN"/>
        </w:rPr>
        <w:t>乡村振兴</w:t>
      </w:r>
      <w:r>
        <w:rPr>
          <w:rFonts w:hint="eastAsia" w:ascii="仿宋_GB2312" w:hAnsi="仿宋_GB2312" w:eastAsia="仿宋_GB2312" w:cs="仿宋_GB2312"/>
          <w:color w:val="auto"/>
          <w:sz w:val="32"/>
          <w:szCs w:val="32"/>
        </w:rPr>
        <w:t>产业、做好“土特产”文章、强化农业科技创新和装备支撑、推进农村集体经济发展和农民增收等方面政策信息。</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eastAsia="zh-CN"/>
        </w:rPr>
        <w:t>区</w:t>
      </w:r>
      <w:r>
        <w:rPr>
          <w:rFonts w:hint="eastAsia" w:ascii="楷体_GB2312" w:hAnsi="楷体_GB2312" w:eastAsia="楷体_GB2312" w:cs="楷体_GB2312"/>
          <w:color w:val="auto"/>
          <w:sz w:val="32"/>
          <w:szCs w:val="32"/>
        </w:rPr>
        <w:t>农业农村局负责落实，完成时限：2024年10月）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6.做好打造“演艺之都”“书香京城”“博物馆之城”等品牌工作的信息公开。推进首都市民系列文化活动、促进乡村旅游高质量发展等方面信息公开。做好文物腾退修缮和历史建筑保护方面的信息公开，持续发布“一区一中心”重点工作阶段性成果信息。</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eastAsia="zh-CN"/>
        </w:rPr>
        <w:t>区</w:t>
      </w:r>
      <w:r>
        <w:rPr>
          <w:rFonts w:hint="eastAsia" w:ascii="楷体_GB2312" w:hAnsi="楷体_GB2312" w:eastAsia="楷体_GB2312" w:cs="楷体_GB2312"/>
          <w:color w:val="auto"/>
          <w:sz w:val="32"/>
          <w:szCs w:val="32"/>
        </w:rPr>
        <w:t>文化和旅游局负责落实，完成时限：2024年10月）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7.持续做好退役军人服务保障体系建设、移交安置、就业扶持、拥军优抚、褒扬纪念等方面信息公开。</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eastAsia="zh-CN"/>
        </w:rPr>
        <w:t>区</w:t>
      </w:r>
      <w:r>
        <w:rPr>
          <w:rFonts w:hint="eastAsia" w:ascii="楷体_GB2312" w:hAnsi="楷体_GB2312" w:eastAsia="楷体_GB2312" w:cs="楷体_GB2312"/>
          <w:color w:val="auto"/>
          <w:sz w:val="32"/>
          <w:szCs w:val="32"/>
        </w:rPr>
        <w:t>退役军人局负责落实，完成时限：2024年10月）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（四）围绕政府自身建设推进政府信息专题公开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仿宋_GB2312" w:hAnsi="仿宋_GB2312" w:eastAsia="仿宋_GB2312" w:cs="仿宋_GB2312"/>
          <w:color w:val="auto"/>
          <w:sz w:val="32"/>
          <w:szCs w:val="32"/>
        </w:rPr>
        <w:t>1.强化财政预决算信息公开，优化完</w:t>
      </w:r>
      <w:r>
        <w:rPr>
          <w:rFonts w:hint="eastAsia" w:ascii="仿宋_GB2312" w:hAnsi="仿宋_GB2312" w:eastAsia="仿宋_GB2312" w:cs="仿宋_GB2312"/>
          <w:color w:val="auto"/>
          <w:sz w:val="32"/>
          <w:szCs w:val="32"/>
          <w:highlight w:val="none"/>
        </w:rPr>
        <w:t>善公开内容形式，提高规范性可读性，便于公众理解监督。深化政府采购制度改革，提高政府采购透明度。推进政府债务信息公开，及时做好政府债务限额、余额等情况公开。</w:t>
      </w:r>
      <w:r>
        <w:rPr>
          <w:rFonts w:hint="eastAsia" w:ascii="仿宋_GB2312" w:hAnsi="仿宋_GB2312" w:eastAsia="仿宋_GB2312" w:cs="仿宋_GB2312"/>
          <w:color w:val="auto"/>
          <w:sz w:val="32"/>
          <w:szCs w:val="32"/>
          <w:highlight w:val="none"/>
          <w:lang w:val="en-US" w:eastAsia="zh-CN"/>
        </w:rPr>
        <w:t>及时在区政府网站</w:t>
      </w:r>
      <w:r>
        <w:rPr>
          <w:rFonts w:hint="eastAsia" w:ascii="仿宋_GB2312" w:hAnsi="仿宋_GB2312" w:eastAsia="仿宋_GB2312" w:cs="仿宋_GB2312"/>
          <w:color w:val="auto"/>
          <w:sz w:val="32"/>
          <w:szCs w:val="32"/>
          <w:highlight w:val="none"/>
        </w:rPr>
        <w:t>“财政资金直达基层”专栏，集中发布直达资金相关重要政策、资金分配使用情况。</w:t>
      </w: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eastAsia="zh-CN"/>
        </w:rPr>
        <w:t>区</w:t>
      </w:r>
      <w:r>
        <w:rPr>
          <w:rFonts w:hint="eastAsia" w:ascii="楷体_GB2312" w:hAnsi="楷体_GB2312" w:eastAsia="楷体_GB2312" w:cs="楷体_GB2312"/>
          <w:color w:val="auto"/>
          <w:sz w:val="32"/>
          <w:szCs w:val="32"/>
          <w:highlight w:val="none"/>
        </w:rPr>
        <w:t>财政局负责落实，完成时限：2024年10月）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仿宋_GB2312" w:hAnsi="仿宋_GB2312" w:eastAsia="仿宋_GB2312" w:cs="仿宋_GB2312"/>
          <w:color w:val="auto"/>
          <w:sz w:val="32"/>
          <w:szCs w:val="32"/>
          <w:highlight w:val="none"/>
        </w:rPr>
        <w:t>2.做好区政府行政规范性文件的建议公开征集。</w:t>
      </w: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eastAsia="zh-CN"/>
        </w:rPr>
        <w:t>区</w:t>
      </w:r>
      <w:r>
        <w:rPr>
          <w:rFonts w:hint="eastAsia" w:ascii="楷体_GB2312" w:hAnsi="楷体_GB2312" w:eastAsia="楷体_GB2312" w:cs="楷体_GB2312"/>
          <w:color w:val="auto"/>
          <w:sz w:val="32"/>
          <w:szCs w:val="32"/>
          <w:highlight w:val="none"/>
        </w:rPr>
        <w:t>司法局负责落实，完成时限：2024年10月）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3.结合机构改革最新情况做好权责清单动态更新，并在本单位政府网站集中规范发布。</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val="en-US" w:eastAsia="zh-CN"/>
        </w:rPr>
        <w:t>区政务服务局、</w:t>
      </w:r>
      <w:r>
        <w:rPr>
          <w:rFonts w:hint="eastAsia" w:ascii="楷体_GB2312" w:hAnsi="楷体_GB2312" w:eastAsia="楷体_GB2312" w:cs="楷体_GB2312"/>
          <w:color w:val="auto"/>
          <w:sz w:val="32"/>
          <w:szCs w:val="32"/>
          <w:lang w:eastAsia="zh-CN"/>
        </w:rPr>
        <w:t>区</w:t>
      </w:r>
      <w:r>
        <w:rPr>
          <w:rFonts w:hint="eastAsia" w:ascii="楷体_GB2312" w:hAnsi="楷体_GB2312" w:eastAsia="楷体_GB2312" w:cs="楷体_GB2312"/>
          <w:color w:val="auto"/>
          <w:sz w:val="32"/>
          <w:szCs w:val="32"/>
        </w:rPr>
        <w:t>各部门</w:t>
      </w: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highlight w:val="none"/>
          <w:lang w:val="en-US" w:eastAsia="zh-CN"/>
        </w:rPr>
        <w:t>各镇街</w:t>
      </w:r>
      <w:r>
        <w:rPr>
          <w:rFonts w:hint="eastAsia" w:ascii="楷体_GB2312" w:hAnsi="楷体_GB2312" w:eastAsia="楷体_GB2312" w:cs="楷体_GB2312"/>
          <w:color w:val="auto"/>
          <w:sz w:val="32"/>
          <w:szCs w:val="32"/>
          <w:highlight w:val="none"/>
        </w:rPr>
        <w:t>负责</w:t>
      </w:r>
      <w:r>
        <w:rPr>
          <w:rFonts w:hint="eastAsia" w:ascii="楷体_GB2312" w:hAnsi="楷体_GB2312" w:eastAsia="楷体_GB2312" w:cs="楷体_GB2312"/>
          <w:color w:val="auto"/>
          <w:sz w:val="32"/>
          <w:szCs w:val="32"/>
        </w:rPr>
        <w:t>落实，完成时限：2024年12月）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按季度向社会公开</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政府工作报告重点任务、重要民生实事项目的执行情况。</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val="en-US" w:eastAsia="zh-CN"/>
        </w:rPr>
        <w:t>区政务服务局、</w:t>
      </w:r>
      <w:r>
        <w:rPr>
          <w:rFonts w:hint="eastAsia" w:ascii="楷体_GB2312" w:hAnsi="楷体_GB2312" w:eastAsia="楷体_GB2312" w:cs="楷体_GB2312"/>
          <w:color w:val="auto"/>
          <w:sz w:val="32"/>
          <w:szCs w:val="32"/>
        </w:rPr>
        <w:t>区政府</w:t>
      </w:r>
      <w:r>
        <w:rPr>
          <w:rFonts w:hint="eastAsia" w:ascii="楷体_GB2312" w:hAnsi="楷体_GB2312" w:eastAsia="楷体_GB2312" w:cs="楷体_GB2312"/>
          <w:color w:val="auto"/>
          <w:sz w:val="32"/>
          <w:szCs w:val="32"/>
          <w:lang w:val="en-US" w:eastAsia="zh-CN"/>
        </w:rPr>
        <w:t>办</w:t>
      </w:r>
      <w:r>
        <w:rPr>
          <w:rFonts w:hint="eastAsia" w:ascii="楷体_GB2312" w:hAnsi="楷体_GB2312" w:eastAsia="楷体_GB2312" w:cs="楷体_GB2312"/>
          <w:color w:val="auto"/>
          <w:sz w:val="32"/>
          <w:szCs w:val="32"/>
        </w:rPr>
        <w:t>负责落实，完成时限：2024年12月）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国标黑体" w:hAnsi="国标黑体" w:eastAsia="国标黑体" w:cs="国标黑体"/>
          <w:color w:val="auto"/>
          <w:sz w:val="32"/>
          <w:szCs w:val="32"/>
        </w:rPr>
      </w:pPr>
      <w:r>
        <w:rPr>
          <w:rFonts w:hint="eastAsia" w:ascii="国标黑体" w:hAnsi="国标黑体" w:eastAsia="国标黑体" w:cs="国标黑体"/>
          <w:color w:val="auto"/>
          <w:sz w:val="32"/>
          <w:szCs w:val="32"/>
        </w:rPr>
        <w:t>三、提升政策服务质效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（一）政策意见征集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1.强化群众企业参与政策制定机制，通过调研座谈、问卷调查、大数据分析等方式，对于涉及公众切身利益的政策广泛开展政策需求征集工作，主动问计求策，汇集公众需求及意见建议，增强政策有效性。</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val="en-US" w:eastAsia="zh-CN"/>
        </w:rPr>
        <w:t>区政务服务局</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val="en-US" w:eastAsia="zh-CN"/>
        </w:rPr>
        <w:t>区</w:t>
      </w:r>
      <w:r>
        <w:rPr>
          <w:rFonts w:hint="eastAsia" w:ascii="楷体_GB2312" w:hAnsi="楷体_GB2312" w:eastAsia="楷体_GB2312" w:cs="楷体_GB2312"/>
          <w:color w:val="auto"/>
          <w:sz w:val="32"/>
          <w:szCs w:val="32"/>
        </w:rPr>
        <w:t>各部门</w:t>
      </w:r>
      <w:r>
        <w:rPr>
          <w:rFonts w:hint="eastAsia" w:ascii="楷体_GB2312" w:hAnsi="楷体_GB2312" w:eastAsia="楷体_GB2312" w:cs="楷体_GB2312"/>
          <w:b w:val="0"/>
          <w:color w:val="auto"/>
          <w:kern w:val="0"/>
          <w:sz w:val="31"/>
          <w:szCs w:val="31"/>
          <w:highlight w:val="none"/>
          <w:lang w:val="en-US" w:eastAsia="zh-CN" w:bidi="ar"/>
        </w:rPr>
        <w:t>、各镇街</w:t>
      </w:r>
      <w:r>
        <w:rPr>
          <w:rFonts w:hint="eastAsia" w:ascii="楷体_GB2312" w:hAnsi="楷体_GB2312" w:eastAsia="楷体_GB2312" w:cs="楷体_GB2312"/>
          <w:color w:val="auto"/>
          <w:sz w:val="32"/>
          <w:szCs w:val="32"/>
        </w:rPr>
        <w:t>负责落实，完成时限：2024年10月）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2.在政策草案形成后，应优先通过市区两级政策意见征集栏目向社会公开征集意见，并充分利用政务新媒体、报纸报刊、广播电视等渠道，扩大政策意见征集的知晓面和参与度。</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b w:val="0"/>
          <w:color w:val="auto"/>
          <w:kern w:val="0"/>
          <w:sz w:val="31"/>
          <w:szCs w:val="31"/>
          <w:highlight w:val="none"/>
          <w:lang w:val="en-US" w:eastAsia="zh-CN" w:bidi="ar"/>
        </w:rPr>
        <w:t>区政务服务局牵头，区各部门、各镇街</w:t>
      </w:r>
      <w:r>
        <w:rPr>
          <w:rFonts w:ascii="楷体_GB2312" w:hAnsi="楷体_GB2312" w:eastAsia="楷体_GB2312" w:cs="楷体_GB2312"/>
          <w:b w:val="0"/>
          <w:color w:val="auto"/>
          <w:kern w:val="0"/>
          <w:sz w:val="31"/>
          <w:szCs w:val="31"/>
          <w:highlight w:val="none"/>
          <w:lang w:val="en-US" w:eastAsia="zh-CN" w:bidi="ar"/>
        </w:rPr>
        <w:t>负责落实，</w:t>
      </w:r>
      <w:r>
        <w:rPr>
          <w:rFonts w:hint="eastAsia" w:ascii="楷体_GB2312" w:hAnsi="楷体_GB2312" w:eastAsia="楷体_GB2312" w:cs="楷体_GB2312"/>
          <w:color w:val="auto"/>
          <w:sz w:val="32"/>
          <w:szCs w:val="32"/>
        </w:rPr>
        <w:t>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（二）政策制定审核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1.细化政策制定标准。政策制定时应从群众企业使用政策角度认真研究，根据宏观规划、计划方案、兑现办事等类型编制政策内容，确保政策的可操作性。宏观规划、计划方案类政策原则上不再另行出台配套细则，确需出台配套细则的，应当与政策同步制定、同步发布。</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b w:val="0"/>
          <w:color w:val="auto"/>
          <w:kern w:val="0"/>
          <w:sz w:val="31"/>
          <w:szCs w:val="31"/>
          <w:highlight w:val="none"/>
          <w:lang w:val="en-US" w:eastAsia="zh-CN" w:bidi="ar"/>
        </w:rPr>
        <w:t>区政务服务局牵头，区各部门、各镇街</w:t>
      </w:r>
      <w:r>
        <w:rPr>
          <w:rFonts w:ascii="楷体_GB2312" w:hAnsi="楷体_GB2312" w:eastAsia="楷体_GB2312" w:cs="楷体_GB2312"/>
          <w:b w:val="0"/>
          <w:color w:val="auto"/>
          <w:kern w:val="0"/>
          <w:sz w:val="31"/>
          <w:szCs w:val="31"/>
          <w:highlight w:val="none"/>
          <w:lang w:val="en-US" w:eastAsia="zh-CN" w:bidi="ar"/>
        </w:rPr>
        <w:t>负责落实</w:t>
      </w:r>
      <w:r>
        <w:rPr>
          <w:rFonts w:hint="eastAsia" w:ascii="楷体_GB2312" w:hAnsi="楷体_GB2312" w:eastAsia="楷体_GB2312" w:cs="楷体_GB2312"/>
          <w:color w:val="auto"/>
          <w:sz w:val="32"/>
          <w:szCs w:val="32"/>
        </w:rPr>
        <w:t>，完成时限：2024年10月）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2.强化政策测算应用。对拟制定的政策条款应通过“京策”平台进行预制，推演适用对象、适用条件等是否符合政策预期目标，提升拟制定政策条款的科学性、有效性。</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b w:val="0"/>
          <w:color w:val="auto"/>
          <w:kern w:val="0"/>
          <w:sz w:val="31"/>
          <w:szCs w:val="31"/>
          <w:highlight w:val="none"/>
          <w:lang w:val="en-US" w:eastAsia="zh-CN" w:bidi="ar"/>
        </w:rPr>
        <w:t>区政务服务局牵头，区各部门、各镇街</w:t>
      </w:r>
      <w:r>
        <w:rPr>
          <w:rFonts w:ascii="楷体_GB2312" w:hAnsi="楷体_GB2312" w:eastAsia="楷体_GB2312" w:cs="楷体_GB2312"/>
          <w:b w:val="0"/>
          <w:color w:val="auto"/>
          <w:kern w:val="0"/>
          <w:sz w:val="31"/>
          <w:szCs w:val="31"/>
          <w:highlight w:val="none"/>
          <w:lang w:val="en-US" w:eastAsia="zh-CN" w:bidi="ar"/>
        </w:rPr>
        <w:t>负责落实</w:t>
      </w:r>
      <w:r>
        <w:rPr>
          <w:rFonts w:hint="eastAsia" w:ascii="楷体_GB2312" w:hAnsi="楷体_GB2312" w:eastAsia="楷体_GB2312" w:cs="楷体_GB2312"/>
          <w:color w:val="auto"/>
          <w:sz w:val="32"/>
          <w:szCs w:val="32"/>
        </w:rPr>
        <w:t>，完成时限：2024年10月）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3.建立政策前置审核工作制度。政策发布前，政策制定部门应按要求开展“制定标准性、公开合规性、解读规范性、兑现操作性、测算必要性”等审核工作。多部门联合印发的政策，由牵头部门会同其他起草部门开展政策审核。未按要求审核的政策不得发布实施。</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b w:val="0"/>
          <w:color w:val="auto"/>
          <w:kern w:val="0"/>
          <w:sz w:val="31"/>
          <w:szCs w:val="31"/>
          <w:highlight w:val="none"/>
          <w:lang w:val="en-US" w:eastAsia="zh-CN" w:bidi="ar"/>
        </w:rPr>
        <w:t>区政务服务局牵头，区各部门、各镇街</w:t>
      </w:r>
      <w:r>
        <w:rPr>
          <w:rFonts w:ascii="楷体_GB2312" w:hAnsi="楷体_GB2312" w:eastAsia="楷体_GB2312" w:cs="楷体_GB2312"/>
          <w:b w:val="0"/>
          <w:color w:val="auto"/>
          <w:kern w:val="0"/>
          <w:sz w:val="31"/>
          <w:szCs w:val="31"/>
          <w:highlight w:val="none"/>
          <w:lang w:val="en-US" w:eastAsia="zh-CN" w:bidi="ar"/>
        </w:rPr>
        <w:t>负责落实</w:t>
      </w:r>
      <w:r>
        <w:rPr>
          <w:rFonts w:hint="eastAsia" w:ascii="楷体_GB2312" w:hAnsi="楷体_GB2312" w:eastAsia="楷体_GB2312" w:cs="楷体_GB2312"/>
          <w:color w:val="auto"/>
          <w:sz w:val="32"/>
          <w:szCs w:val="32"/>
        </w:rPr>
        <w:t>，完成时限：2024年10月）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（三）政策发布解读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1.建立政策集中规范发布制度。将政府网站作为政策发布的第一平台，按照政府网站最新政策视图管理要求，在</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政府网站“政策文件”栏目集中发布政策，以便“京策”平台及时全量汇聚本市政策。</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val="en-US" w:eastAsia="zh-CN"/>
        </w:rPr>
        <w:t>区政务服务局</w:t>
      </w:r>
      <w:r>
        <w:rPr>
          <w:rFonts w:hint="eastAsia" w:ascii="楷体_GB2312" w:hAnsi="楷体_GB2312" w:eastAsia="楷体_GB2312" w:cs="楷体_GB2312"/>
          <w:b w:val="0"/>
          <w:color w:val="auto"/>
          <w:kern w:val="0"/>
          <w:sz w:val="31"/>
          <w:szCs w:val="31"/>
          <w:highlight w:val="none"/>
          <w:lang w:val="en-US" w:eastAsia="zh-CN" w:bidi="ar"/>
        </w:rPr>
        <w:t>牵头，区各部门、各镇街</w:t>
      </w:r>
      <w:r>
        <w:rPr>
          <w:rFonts w:hint="eastAsia" w:ascii="楷体_GB2312" w:hAnsi="楷体_GB2312" w:eastAsia="楷体_GB2312" w:cs="楷体_GB2312"/>
          <w:color w:val="auto"/>
          <w:sz w:val="32"/>
          <w:szCs w:val="32"/>
          <w:lang w:val="en-US" w:eastAsia="zh-CN"/>
        </w:rPr>
        <w:t xml:space="preserve">配合 </w:t>
      </w:r>
      <w:r>
        <w:rPr>
          <w:rFonts w:hint="eastAsia" w:ascii="楷体_GB2312" w:hAnsi="楷体_GB2312" w:eastAsia="楷体_GB2312" w:cs="楷体_GB2312"/>
          <w:color w:val="auto"/>
          <w:sz w:val="32"/>
          <w:szCs w:val="32"/>
        </w:rPr>
        <w:t>落实，完成时限：2024年10月）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2.严格落实政策解读“三同步”原则，加强对宏观规划、计划方案、兑现办事等政策的分类解读，结合政策内容，注重解读政策的背景依据、目标任务、主要内容、创新特点、专有名词、涉及范围、执行标准、注意事项、新旧政策差异等。丰富政策解读形式，鼓励通过简明问答、一图读懂、视频音频等群众企业喜闻乐见的方式开展形象化、通俗化解读，综合运用“报、网、端、微、屏”等平台加强政策的发布和解读。</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b w:val="0"/>
          <w:color w:val="auto"/>
          <w:kern w:val="0"/>
          <w:sz w:val="31"/>
          <w:szCs w:val="31"/>
          <w:highlight w:val="none"/>
          <w:lang w:val="en-US" w:eastAsia="zh-CN" w:bidi="ar"/>
        </w:rPr>
        <w:t>区政务服务局牵头，区各部门、各镇街</w:t>
      </w:r>
      <w:r>
        <w:rPr>
          <w:rFonts w:ascii="楷体_GB2312" w:hAnsi="楷体_GB2312" w:eastAsia="楷体_GB2312" w:cs="楷体_GB2312"/>
          <w:b w:val="0"/>
          <w:color w:val="auto"/>
          <w:kern w:val="0"/>
          <w:sz w:val="31"/>
          <w:szCs w:val="31"/>
          <w:highlight w:val="none"/>
          <w:lang w:val="en-US" w:eastAsia="zh-CN" w:bidi="ar"/>
        </w:rPr>
        <w:t>负责落实</w:t>
      </w:r>
      <w:r>
        <w:rPr>
          <w:rFonts w:hint="eastAsia" w:ascii="楷体_GB2312" w:hAnsi="楷体_GB2312" w:eastAsia="楷体_GB2312" w:cs="楷体_GB2312"/>
          <w:b w:val="0"/>
          <w:color w:val="auto"/>
          <w:kern w:val="0"/>
          <w:sz w:val="31"/>
          <w:szCs w:val="31"/>
          <w:highlight w:val="none"/>
          <w:lang w:val="en-US" w:eastAsia="zh-CN" w:bidi="ar"/>
        </w:rPr>
        <w:t>，</w:t>
      </w:r>
      <w:r>
        <w:rPr>
          <w:rFonts w:hint="eastAsia" w:ascii="楷体_GB2312" w:hAnsi="楷体_GB2312" w:eastAsia="楷体_GB2312" w:cs="楷体_GB2312"/>
          <w:color w:val="auto"/>
          <w:sz w:val="32"/>
          <w:szCs w:val="32"/>
        </w:rPr>
        <w:t>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3.建立政策舆情收集、研判、处置和回应机制，按照“谁起草、谁负责”的原则，压实主体责任。政策发布前，应充分评估可能产生的舆情风险；政策发布后，要加强监测预警和分析研判，发现问题快速反应，及时回应社会关切。</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b w:val="0"/>
          <w:color w:val="auto"/>
          <w:kern w:val="0"/>
          <w:sz w:val="31"/>
          <w:szCs w:val="31"/>
          <w:highlight w:val="none"/>
          <w:lang w:val="en-US" w:eastAsia="zh-CN" w:bidi="ar"/>
        </w:rPr>
        <w:t>区政务服务局牵头，区各部门、各镇街</w:t>
      </w:r>
      <w:r>
        <w:rPr>
          <w:rFonts w:ascii="楷体_GB2312" w:hAnsi="楷体_GB2312" w:eastAsia="楷体_GB2312" w:cs="楷体_GB2312"/>
          <w:b w:val="0"/>
          <w:color w:val="auto"/>
          <w:kern w:val="0"/>
          <w:sz w:val="31"/>
          <w:szCs w:val="31"/>
          <w:highlight w:val="none"/>
          <w:lang w:val="en-US" w:eastAsia="zh-CN" w:bidi="ar"/>
        </w:rPr>
        <w:t>负责落实</w:t>
      </w:r>
      <w:r>
        <w:rPr>
          <w:rFonts w:hint="eastAsia" w:ascii="楷体_GB2312" w:hAnsi="楷体_GB2312" w:eastAsia="楷体_GB2312" w:cs="楷体_GB2312"/>
          <w:color w:val="auto"/>
          <w:sz w:val="32"/>
          <w:szCs w:val="32"/>
        </w:rPr>
        <w:t>，完成时限：2024年10月）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4.健全政策动态清理工作机制。梳理本单位政策清单，每年至少开展一次政策有效性集中确认和失效政策标注工作，并同步在政府网站更新，提升政策集中公开的质量实效。</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b w:val="0"/>
          <w:color w:val="auto"/>
          <w:kern w:val="0"/>
          <w:sz w:val="31"/>
          <w:szCs w:val="31"/>
          <w:highlight w:val="none"/>
          <w:lang w:val="en-US" w:eastAsia="zh-CN" w:bidi="ar"/>
        </w:rPr>
        <w:t>区政务服务局牵头，区各部门、各镇街</w:t>
      </w:r>
      <w:r>
        <w:rPr>
          <w:rFonts w:ascii="楷体_GB2312" w:hAnsi="楷体_GB2312" w:eastAsia="楷体_GB2312" w:cs="楷体_GB2312"/>
          <w:b w:val="0"/>
          <w:color w:val="auto"/>
          <w:kern w:val="0"/>
          <w:sz w:val="31"/>
          <w:szCs w:val="31"/>
          <w:highlight w:val="none"/>
          <w:lang w:val="en-US" w:eastAsia="zh-CN" w:bidi="ar"/>
        </w:rPr>
        <w:t>负责落实</w:t>
      </w:r>
      <w:r>
        <w:rPr>
          <w:rFonts w:hint="eastAsia" w:ascii="楷体_GB2312" w:hAnsi="楷体_GB2312" w:eastAsia="楷体_GB2312" w:cs="楷体_GB2312"/>
          <w:color w:val="auto"/>
          <w:sz w:val="32"/>
          <w:szCs w:val="32"/>
        </w:rPr>
        <w:t>，完成时限：2024年12月）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（四）政策兑现评价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1.建立政策兑现事项报送机制。发布涉及财政资金的惠企政策时，应按要求进行标签化处理，明确政策核心要素，同步报送市政府门户网站“政策兑现专区”，确保全市所有涉及财政资金的惠企政策集中兑现、一站式申报。</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b w:val="0"/>
          <w:color w:val="auto"/>
          <w:kern w:val="0"/>
          <w:sz w:val="31"/>
          <w:szCs w:val="31"/>
          <w:highlight w:val="none"/>
          <w:lang w:val="en-US" w:eastAsia="zh-CN" w:bidi="ar"/>
        </w:rPr>
        <w:t>区政务服务局牵头，区各部门、各镇街</w:t>
      </w:r>
      <w:r>
        <w:rPr>
          <w:rFonts w:ascii="楷体_GB2312" w:hAnsi="楷体_GB2312" w:eastAsia="楷体_GB2312" w:cs="楷体_GB2312"/>
          <w:b w:val="0"/>
          <w:color w:val="auto"/>
          <w:kern w:val="0"/>
          <w:sz w:val="31"/>
          <w:szCs w:val="31"/>
          <w:highlight w:val="none"/>
          <w:lang w:val="en-US" w:eastAsia="zh-CN" w:bidi="ar"/>
        </w:rPr>
        <w:t>负责落实</w:t>
      </w:r>
      <w:r>
        <w:rPr>
          <w:rFonts w:hint="eastAsia" w:ascii="楷体_GB2312" w:hAnsi="楷体_GB2312" w:eastAsia="楷体_GB2312" w:cs="楷体_GB2312"/>
          <w:color w:val="auto"/>
          <w:sz w:val="32"/>
          <w:szCs w:val="32"/>
        </w:rPr>
        <w:t>，完成时限：2024年10月）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配合</w:t>
      </w:r>
      <w:r>
        <w:rPr>
          <w:rFonts w:hint="eastAsia" w:ascii="仿宋_GB2312" w:hAnsi="仿宋_GB2312" w:eastAsia="仿宋_GB2312" w:cs="仿宋_GB2312"/>
          <w:color w:val="auto"/>
          <w:sz w:val="32"/>
          <w:szCs w:val="32"/>
        </w:rPr>
        <w:t>搭建</w:t>
      </w:r>
      <w:r>
        <w:rPr>
          <w:rFonts w:hint="eastAsia" w:ascii="仿宋_GB2312" w:hAnsi="仿宋_GB2312" w:eastAsia="仿宋_GB2312" w:cs="仿宋_GB2312"/>
          <w:color w:val="auto"/>
          <w:sz w:val="32"/>
          <w:szCs w:val="32"/>
          <w:lang w:val="en-US" w:eastAsia="zh-CN"/>
        </w:rPr>
        <w:t>市级</w:t>
      </w:r>
      <w:r>
        <w:rPr>
          <w:rFonts w:hint="eastAsia" w:ascii="仿宋_GB2312" w:hAnsi="仿宋_GB2312" w:eastAsia="仿宋_GB2312" w:cs="仿宋_GB2312"/>
          <w:color w:val="auto"/>
          <w:sz w:val="32"/>
          <w:szCs w:val="32"/>
        </w:rPr>
        <w:t>权威统一的政策标签库，细化政策适用对象，建立政策标签体系，强化与各类企业服务平台、企业</w:t>
      </w:r>
      <w:r>
        <w:rPr>
          <w:rFonts w:hint="eastAsia" w:ascii="仿宋_GB2312" w:hAnsi="仿宋_GB2312" w:eastAsia="仿宋_GB2312" w:cs="仿宋_GB2312"/>
          <w:color w:val="auto"/>
          <w:sz w:val="32"/>
          <w:szCs w:val="32"/>
          <w:highlight w:val="none"/>
        </w:rPr>
        <w:t>协会</w:t>
      </w:r>
      <w:r>
        <w:rPr>
          <w:rFonts w:hint="eastAsia" w:ascii="仿宋_GB2312" w:hAnsi="仿宋_GB2312" w:eastAsia="仿宋_GB2312" w:cs="仿宋_GB2312"/>
          <w:color w:val="auto"/>
          <w:sz w:val="32"/>
          <w:szCs w:val="32"/>
          <w:highlight w:val="none"/>
          <w:lang w:eastAsia="zh-CN"/>
        </w:rPr>
        <w:t>商会</w:t>
      </w:r>
      <w:r>
        <w:rPr>
          <w:rFonts w:hint="eastAsia" w:ascii="仿宋_GB2312" w:hAnsi="仿宋_GB2312" w:eastAsia="仿宋_GB2312" w:cs="仿宋_GB2312"/>
          <w:color w:val="auto"/>
          <w:sz w:val="32"/>
          <w:szCs w:val="32"/>
          <w:highlight w:val="none"/>
        </w:rPr>
        <w:t>、社会咨询机构、第三方政策咨询平台等联络协作机制，不断扩大政策服务覆盖面。</w:t>
      </w: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val="en-US" w:eastAsia="zh-CN"/>
        </w:rPr>
        <w:t>区政务服务局</w:t>
      </w:r>
      <w:r>
        <w:rPr>
          <w:rFonts w:hint="eastAsia" w:ascii="楷体_GB2312" w:hAnsi="楷体_GB2312" w:eastAsia="楷体_GB2312" w:cs="楷体_GB2312"/>
          <w:color w:val="auto"/>
          <w:sz w:val="32"/>
          <w:szCs w:val="32"/>
          <w:highlight w:val="none"/>
        </w:rPr>
        <w:t>负责落实，完成时限：2024年10月）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3.开展政策效果评价应用试点。选取本区政策服务重点部门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结合本单位政策在“京策”平台的应用情况开展政策评估分析，全面掌握政策落地情况，并适时转化为调整政策制定的措施。</w:t>
      </w: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val="en-US" w:eastAsia="zh-CN"/>
        </w:rPr>
        <w:t>区政务服务局</w:t>
      </w:r>
      <w:r>
        <w:rPr>
          <w:rFonts w:hint="eastAsia" w:ascii="楷体_GB2312" w:hAnsi="楷体_GB2312" w:eastAsia="楷体_GB2312" w:cs="楷体_GB2312"/>
          <w:color w:val="auto"/>
          <w:sz w:val="32"/>
          <w:szCs w:val="32"/>
          <w:highlight w:val="none"/>
        </w:rPr>
        <w:t>负责落实，完</w:t>
      </w:r>
      <w:r>
        <w:rPr>
          <w:rFonts w:hint="eastAsia" w:ascii="楷体_GB2312" w:hAnsi="楷体_GB2312" w:eastAsia="楷体_GB2312" w:cs="楷体_GB2312"/>
          <w:color w:val="auto"/>
          <w:sz w:val="32"/>
          <w:szCs w:val="32"/>
        </w:rPr>
        <w:t>成时限：2024年</w:t>
      </w:r>
      <w:r>
        <w:rPr>
          <w:rFonts w:hint="eastAsia" w:ascii="楷体_GB2312" w:hAnsi="楷体_GB2312" w:eastAsia="楷体_GB2312" w:cs="楷体_GB2312"/>
          <w:color w:val="auto"/>
          <w:sz w:val="32"/>
          <w:szCs w:val="32"/>
          <w:highlight w:val="none"/>
        </w:rPr>
        <w:t xml:space="preserve">12月）  </w:t>
      </w:r>
      <w:r>
        <w:rPr>
          <w:rFonts w:hint="eastAsia" w:ascii="仿宋_GB2312" w:hAnsi="仿宋_GB2312" w:eastAsia="仿宋_GB2312" w:cs="仿宋_GB2312"/>
          <w:color w:val="auto"/>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国标黑体" w:hAnsi="国标黑体" w:eastAsia="国标黑体" w:cs="国标黑体"/>
          <w:color w:val="auto"/>
          <w:sz w:val="32"/>
          <w:szCs w:val="32"/>
          <w:highlight w:val="none"/>
        </w:rPr>
      </w:pPr>
      <w:r>
        <w:rPr>
          <w:rFonts w:hint="eastAsia" w:ascii="国标黑体" w:hAnsi="国标黑体" w:eastAsia="国标黑体" w:cs="国标黑体"/>
          <w:color w:val="auto"/>
          <w:sz w:val="32"/>
          <w:szCs w:val="32"/>
          <w:highlight w:val="none"/>
        </w:rPr>
        <w:t>四、加强政务公开能力建设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（一）强化政务公开平台智能集约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highlight w:val="none"/>
        </w:rPr>
        <w:t>1.以用户体验为中心</w:t>
      </w:r>
      <w:r>
        <w:rPr>
          <w:rFonts w:hint="eastAsia" w:ascii="仿宋_GB2312" w:hAnsi="仿宋_GB2312" w:eastAsia="仿宋_GB2312" w:cs="仿宋_GB2312"/>
          <w:color w:val="auto"/>
          <w:sz w:val="32"/>
          <w:szCs w:val="32"/>
          <w:highlight w:val="none"/>
          <w:lang w:val="en-US" w:eastAsia="zh-CN"/>
        </w:rPr>
        <w:t>助力</w:t>
      </w:r>
      <w:r>
        <w:rPr>
          <w:rFonts w:hint="eastAsia" w:ascii="仿宋_GB2312" w:hAnsi="仿宋_GB2312" w:eastAsia="仿宋_GB2312" w:cs="仿宋_GB2312"/>
          <w:color w:val="auto"/>
          <w:sz w:val="32"/>
          <w:szCs w:val="32"/>
          <w:highlight w:val="none"/>
          <w:lang w:eastAsia="zh-CN"/>
        </w:rPr>
        <w:t>北京市</w:t>
      </w:r>
      <w:r>
        <w:rPr>
          <w:rFonts w:hint="eastAsia" w:ascii="仿宋_GB2312" w:hAnsi="仿宋_GB2312" w:eastAsia="仿宋_GB2312" w:cs="仿宋_GB2312"/>
          <w:color w:val="auto"/>
          <w:sz w:val="32"/>
          <w:szCs w:val="32"/>
          <w:highlight w:val="none"/>
        </w:rPr>
        <w:t>政策服务平台（“京策”）建设。坚持业务融合、系统融合、技术融合，统筹政策制定各行业和领域，集成政策服务各环节和</w:t>
      </w:r>
      <w:r>
        <w:rPr>
          <w:rFonts w:hint="eastAsia" w:ascii="仿宋_GB2312" w:hAnsi="仿宋_GB2312" w:eastAsia="仿宋_GB2312" w:cs="仿宋_GB2312"/>
          <w:color w:val="auto"/>
          <w:sz w:val="32"/>
          <w:szCs w:val="32"/>
        </w:rPr>
        <w:t>流程，细化政策制定内容要素，推动政策全量数据汇聚、现有政策服务平台全部贯通，实现政策制定标准规范、政策资金科学预判、政策发布集中统一、政策推送精准有效、政策兑现直达快享、政策评估量化客观。</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highlight w:val="none"/>
          <w:lang w:val="en-US" w:eastAsia="zh-CN"/>
        </w:rPr>
        <w:t>区政务服务局</w:t>
      </w:r>
      <w:r>
        <w:rPr>
          <w:rFonts w:hint="eastAsia" w:ascii="楷体_GB2312" w:hAnsi="楷体_GB2312" w:eastAsia="楷体_GB2312" w:cs="楷体_GB2312"/>
          <w:color w:val="auto"/>
          <w:sz w:val="32"/>
          <w:szCs w:val="32"/>
          <w:highlight w:val="none"/>
        </w:rPr>
        <w:t>负责落实</w:t>
      </w:r>
      <w:r>
        <w:rPr>
          <w:rFonts w:hint="eastAsia" w:ascii="楷体_GB2312" w:hAnsi="楷体_GB2312" w:eastAsia="楷体_GB2312" w:cs="楷体_GB2312"/>
          <w:color w:val="auto"/>
          <w:sz w:val="32"/>
          <w:szCs w:val="32"/>
        </w:rPr>
        <w:t>，完成时限：2024年12月）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color w:val="auto"/>
          <w:sz w:val="32"/>
          <w:szCs w:val="32"/>
          <w:highlight w:val="none"/>
        </w:rPr>
      </w:pPr>
      <w:r>
        <w:rPr>
          <w:rFonts w:hint="eastAsia" w:ascii="仿宋_GB2312" w:hAnsi="仿宋_GB2312" w:eastAsia="仿宋_GB2312" w:cs="仿宋_GB2312"/>
          <w:color w:val="auto"/>
          <w:sz w:val="32"/>
          <w:szCs w:val="32"/>
          <w:highlight w:val="none"/>
        </w:rPr>
        <w:t>2.强化政府网站和政务新媒体服务能力。围绕提升群众企业使用感受，</w:t>
      </w:r>
      <w:r>
        <w:rPr>
          <w:rFonts w:hint="eastAsia" w:ascii="仿宋_GB2312" w:hAnsi="仿宋_GB2312" w:eastAsia="仿宋_GB2312" w:cs="仿宋_GB2312"/>
          <w:color w:val="auto"/>
          <w:sz w:val="32"/>
          <w:szCs w:val="32"/>
          <w:highlight w:val="none"/>
          <w:lang w:eastAsia="zh-CN"/>
        </w:rPr>
        <w:t>发挥</w:t>
      </w:r>
      <w:r>
        <w:rPr>
          <w:rFonts w:hint="eastAsia" w:ascii="仿宋_GB2312" w:hAnsi="仿宋_GB2312" w:eastAsia="仿宋_GB2312" w:cs="仿宋_GB2312"/>
          <w:color w:val="auto"/>
          <w:sz w:val="32"/>
          <w:szCs w:val="32"/>
          <w:highlight w:val="none"/>
        </w:rPr>
        <w:t>多渠道服务优势，推动政府网站和政务新媒体平台协同互补、一体化服务。</w:t>
      </w:r>
      <w:r>
        <w:rPr>
          <w:rFonts w:hint="eastAsia" w:ascii="仿宋_GB2312" w:hAnsi="仿宋_GB2312" w:eastAsia="仿宋_GB2312" w:cs="仿宋_GB2312"/>
          <w:color w:val="auto"/>
          <w:sz w:val="32"/>
          <w:szCs w:val="32"/>
          <w:highlight w:val="none"/>
          <w:lang w:eastAsia="zh-CN"/>
        </w:rPr>
        <w:t>加强</w:t>
      </w:r>
      <w:r>
        <w:rPr>
          <w:rFonts w:hint="eastAsia" w:ascii="仿宋_GB2312" w:hAnsi="仿宋_GB2312" w:eastAsia="仿宋_GB2312" w:cs="仿宋_GB2312"/>
          <w:color w:val="auto"/>
          <w:sz w:val="32"/>
          <w:szCs w:val="32"/>
          <w:highlight w:val="none"/>
        </w:rPr>
        <w:t>政府网站、政务新媒体、电话端一体化监管，着力提升全程跟踪、督办、预警效果。用好用户行为数据和政府部门履职数据，形成大数据分析报告，赋能各部门网上履职和服务能力。严格落实网络意识形态责任制，确保政府网站和政务新媒体安全平稳运行。提升首都国际化网上服务能力，拓展涉外服务场景，持续推进服务场景应用，便利外籍人员在京经商、学习、旅游、生活。</w:t>
      </w: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eastAsia="zh-CN"/>
        </w:rPr>
        <w:t>区</w:t>
      </w:r>
      <w:r>
        <w:rPr>
          <w:rFonts w:hint="eastAsia" w:ascii="楷体_GB2312" w:hAnsi="楷体_GB2312" w:eastAsia="楷体_GB2312" w:cs="楷体_GB2312"/>
          <w:color w:val="auto"/>
          <w:sz w:val="32"/>
          <w:szCs w:val="32"/>
          <w:highlight w:val="none"/>
        </w:rPr>
        <w:t>政务服务局牵头，</w:t>
      </w:r>
      <w:r>
        <w:rPr>
          <w:rFonts w:hint="eastAsia" w:ascii="楷体_GB2312" w:hAnsi="楷体_GB2312" w:eastAsia="楷体_GB2312" w:cs="楷体_GB2312"/>
          <w:color w:val="auto"/>
          <w:sz w:val="32"/>
          <w:szCs w:val="32"/>
          <w:highlight w:val="none"/>
          <w:lang w:eastAsia="zh-CN"/>
        </w:rPr>
        <w:t>区</w:t>
      </w:r>
      <w:r>
        <w:rPr>
          <w:rFonts w:hint="eastAsia" w:ascii="楷体_GB2312" w:hAnsi="楷体_GB2312" w:eastAsia="楷体_GB2312" w:cs="楷体_GB2312"/>
          <w:color w:val="auto"/>
          <w:sz w:val="32"/>
          <w:szCs w:val="32"/>
          <w:highlight w:val="none"/>
          <w:lang w:val="en-US" w:eastAsia="zh-CN"/>
        </w:rPr>
        <w:t>科信局、</w:t>
      </w:r>
      <w:r>
        <w:rPr>
          <w:rFonts w:hint="eastAsia" w:ascii="楷体_GB2312" w:hAnsi="楷体_GB2312" w:eastAsia="楷体_GB2312" w:cs="楷体_GB2312"/>
          <w:color w:val="auto"/>
          <w:sz w:val="32"/>
          <w:szCs w:val="32"/>
          <w:highlight w:val="none"/>
        </w:rPr>
        <w:t>区</w:t>
      </w:r>
      <w:r>
        <w:rPr>
          <w:rFonts w:hint="eastAsia" w:ascii="楷体_GB2312" w:hAnsi="楷体_GB2312" w:eastAsia="楷体_GB2312" w:cs="楷体_GB2312"/>
          <w:color w:val="auto"/>
          <w:sz w:val="32"/>
          <w:szCs w:val="32"/>
          <w:highlight w:val="none"/>
          <w:lang w:val="en-US" w:eastAsia="zh-CN"/>
        </w:rPr>
        <w:t>融媒体中心、区</w:t>
      </w:r>
      <w:r>
        <w:rPr>
          <w:rFonts w:hint="eastAsia" w:ascii="楷体_GB2312" w:hAnsi="楷体_GB2312" w:eastAsia="楷体_GB2312" w:cs="楷体_GB2312"/>
          <w:color w:val="auto"/>
          <w:sz w:val="32"/>
          <w:szCs w:val="32"/>
          <w:highlight w:val="none"/>
        </w:rPr>
        <w:t>各部门</w:t>
      </w:r>
      <w:r>
        <w:rPr>
          <w:rFonts w:hint="eastAsia" w:ascii="楷体_GB2312" w:hAnsi="楷体_GB2312" w:eastAsia="楷体_GB2312" w:cs="楷体_GB2312"/>
          <w:color w:val="auto"/>
          <w:sz w:val="32"/>
          <w:szCs w:val="32"/>
          <w:highlight w:val="none"/>
          <w:lang w:eastAsia="zh-CN"/>
        </w:rPr>
        <w:t>、</w:t>
      </w:r>
      <w:r>
        <w:rPr>
          <w:rFonts w:hint="eastAsia" w:ascii="楷体_GB2312" w:hAnsi="楷体_GB2312" w:eastAsia="楷体_GB2312" w:cs="楷体_GB2312"/>
          <w:color w:val="auto"/>
          <w:sz w:val="32"/>
          <w:szCs w:val="32"/>
          <w:highlight w:val="none"/>
          <w:lang w:val="en-US" w:eastAsia="zh-CN"/>
        </w:rPr>
        <w:t>各镇街</w:t>
      </w:r>
      <w:r>
        <w:rPr>
          <w:rFonts w:hint="eastAsia" w:ascii="楷体_GB2312" w:hAnsi="楷体_GB2312" w:eastAsia="楷体_GB2312" w:cs="楷体_GB2312"/>
          <w:color w:val="auto"/>
          <w:sz w:val="32"/>
          <w:szCs w:val="32"/>
          <w:highlight w:val="none"/>
        </w:rPr>
        <w:t>负责落实，完成时限：2024年12月）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color w:val="auto"/>
          <w:sz w:val="32"/>
          <w:szCs w:val="32"/>
          <w:highlight w:val="none"/>
        </w:rPr>
      </w:pPr>
      <w:r>
        <w:rPr>
          <w:rFonts w:hint="eastAsia" w:ascii="仿宋_GB2312" w:hAnsi="仿宋_GB2312" w:eastAsia="仿宋_GB2312" w:cs="仿宋_GB2312"/>
          <w:color w:val="auto"/>
          <w:sz w:val="32"/>
          <w:szCs w:val="32"/>
          <w:highlight w:val="none"/>
        </w:rPr>
        <w:t>3.强化政府公报数字化服务功能。发挥好政府公报权威发布和标准文本作用，推动政府规章、规范性文件通过政府公报统一刊登。做好政府公报数字文件库应用，有效拓宽数字公报传播应用渠道。</w:t>
      </w: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val="en-US" w:eastAsia="zh-CN"/>
        </w:rPr>
        <w:t>区政务服务局</w:t>
      </w:r>
      <w:r>
        <w:rPr>
          <w:rFonts w:hint="eastAsia" w:ascii="楷体_GB2312" w:hAnsi="楷体_GB2312" w:eastAsia="楷体_GB2312" w:cs="楷体_GB2312"/>
          <w:color w:val="auto"/>
          <w:sz w:val="32"/>
          <w:szCs w:val="32"/>
          <w:highlight w:val="none"/>
        </w:rPr>
        <w:t>负责落实，完成时限：2024年10月）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lightGray"/>
        </w:rPr>
      </w:pPr>
      <w:r>
        <w:rPr>
          <w:rFonts w:hint="eastAsia" w:ascii="仿宋_GB2312" w:hAnsi="仿宋_GB2312" w:eastAsia="仿宋_GB2312" w:cs="仿宋_GB2312"/>
          <w:color w:val="auto"/>
          <w:sz w:val="32"/>
          <w:szCs w:val="32"/>
          <w:highlight w:val="none"/>
        </w:rPr>
        <w:t>4.强化区</w:t>
      </w:r>
      <w:r>
        <w:rPr>
          <w:rFonts w:hint="eastAsia" w:ascii="仿宋_GB2312" w:hAnsi="仿宋_GB2312" w:eastAsia="仿宋_GB2312" w:cs="仿宋_GB2312"/>
          <w:color w:val="auto"/>
          <w:sz w:val="32"/>
          <w:szCs w:val="32"/>
          <w:highlight w:val="none"/>
          <w:lang w:val="en-US" w:eastAsia="zh-CN"/>
        </w:rPr>
        <w:t>属</w:t>
      </w:r>
      <w:r>
        <w:rPr>
          <w:rFonts w:hint="eastAsia" w:ascii="仿宋_GB2312" w:hAnsi="仿宋_GB2312" w:eastAsia="仿宋_GB2312" w:cs="仿宋_GB2312"/>
          <w:color w:val="auto"/>
          <w:sz w:val="32"/>
          <w:szCs w:val="32"/>
          <w:highlight w:val="none"/>
        </w:rPr>
        <w:t>各政务服务大厅政务公开专区建设，为基层群众提供政府信息网上查询、政府信息公开申请接收、政策咨询等服务。提高大厅政策咨询服务水平，设置政策咨询窗口，加强电话解答、现场解答等政策咨询渠道建设，更好解答就业、创业、养老、医疗、纳税等方面与人民群众切身利益密切相关的问题。</w:t>
      </w: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val="en-US" w:eastAsia="zh-CN"/>
        </w:rPr>
        <w:t>区政务服务局牵头，各相关部门、各镇街</w:t>
      </w:r>
      <w:r>
        <w:rPr>
          <w:rFonts w:hint="eastAsia" w:ascii="楷体_GB2312" w:hAnsi="楷体_GB2312" w:eastAsia="楷体_GB2312" w:cs="楷体_GB2312"/>
          <w:color w:val="auto"/>
          <w:sz w:val="32"/>
          <w:szCs w:val="32"/>
          <w:highlight w:val="none"/>
        </w:rPr>
        <w:t>负责落实，完成时限：2024年10月）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（二）优化政企政民互动渠道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仿宋_GB2312" w:hAnsi="仿宋_GB2312" w:eastAsia="仿宋_GB2312" w:cs="仿宋_GB2312"/>
          <w:color w:val="auto"/>
          <w:sz w:val="32"/>
          <w:szCs w:val="32"/>
          <w:highlight w:val="none"/>
        </w:rPr>
        <w:t>1.常态化开展市、区两级“政策公开讲”活动，围绕群众企业热点政策需求，邀请政策制定人讲明讲透政策重点，制作简明扼要、轻松易懂的政策短视频，通过</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政府门户网站专栏发布，供公众随时下载查看。</w:t>
      </w: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b w:val="0"/>
          <w:color w:val="auto"/>
          <w:kern w:val="0"/>
          <w:sz w:val="31"/>
          <w:szCs w:val="31"/>
          <w:highlight w:val="none"/>
          <w:lang w:val="en-US" w:eastAsia="zh-CN" w:bidi="ar"/>
        </w:rPr>
        <w:t>区政务服务局牵头，区各部门、各镇街</w:t>
      </w:r>
      <w:r>
        <w:rPr>
          <w:rFonts w:ascii="楷体_GB2312" w:hAnsi="楷体_GB2312" w:eastAsia="楷体_GB2312" w:cs="楷体_GB2312"/>
          <w:b w:val="0"/>
          <w:color w:val="auto"/>
          <w:kern w:val="0"/>
          <w:sz w:val="31"/>
          <w:szCs w:val="31"/>
          <w:highlight w:val="none"/>
          <w:lang w:val="en-US" w:eastAsia="zh-CN" w:bidi="ar"/>
        </w:rPr>
        <w:t>负责落实</w:t>
      </w:r>
      <w:r>
        <w:rPr>
          <w:rFonts w:hint="eastAsia" w:ascii="楷体_GB2312" w:hAnsi="楷体_GB2312" w:eastAsia="楷体_GB2312" w:cs="楷体_GB2312"/>
          <w:color w:val="auto"/>
          <w:sz w:val="32"/>
          <w:szCs w:val="32"/>
          <w:highlight w:val="none"/>
        </w:rPr>
        <w:t>，完成时限：2024年10月）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2.鼓励通过线上线下多种形式，开展“政务开放日”“基层治理公开议事”等活动，活动设置答疑、座谈、问卷调查等环节，让公众体验政府工作、开展交流互动、收集意见建议，有序引导公众参与城市管理和基层治理。</w:t>
      </w: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b w:val="0"/>
          <w:color w:val="auto"/>
          <w:kern w:val="0"/>
          <w:sz w:val="31"/>
          <w:szCs w:val="31"/>
          <w:highlight w:val="none"/>
          <w:lang w:val="en-US" w:eastAsia="zh-CN" w:bidi="ar"/>
        </w:rPr>
        <w:t>区政务服务局牵头，区各部门、各镇街</w:t>
      </w:r>
      <w:r>
        <w:rPr>
          <w:rFonts w:ascii="楷体_GB2312" w:hAnsi="楷体_GB2312" w:eastAsia="楷体_GB2312" w:cs="楷体_GB2312"/>
          <w:b w:val="0"/>
          <w:color w:val="auto"/>
          <w:kern w:val="0"/>
          <w:sz w:val="31"/>
          <w:szCs w:val="31"/>
          <w:highlight w:val="none"/>
          <w:lang w:val="en-US" w:eastAsia="zh-CN" w:bidi="ar"/>
        </w:rPr>
        <w:t>负责落实</w:t>
      </w:r>
      <w:r>
        <w:rPr>
          <w:rFonts w:hint="eastAsia" w:ascii="楷体_GB2312" w:hAnsi="楷体_GB2312" w:eastAsia="楷体_GB2312" w:cs="楷体_GB2312"/>
          <w:color w:val="auto"/>
          <w:sz w:val="32"/>
          <w:szCs w:val="32"/>
          <w:highlight w:val="none"/>
        </w:rPr>
        <w:t xml:space="preserve">，完成时限：2024年10月）                                          </w:t>
      </w:r>
      <w:r>
        <w:rPr>
          <w:rFonts w:hint="eastAsia" w:ascii="楷体_GB2312" w:hAnsi="楷体_GB2312" w:eastAsia="楷体_GB2312" w:cs="楷体_GB2312"/>
          <w:color w:val="auto"/>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（三）规范政府信息公开程序标准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仿宋_GB2312" w:hAnsi="仿宋_GB2312" w:eastAsia="仿宋_GB2312" w:cs="仿宋_GB2312"/>
          <w:color w:val="auto"/>
          <w:sz w:val="32"/>
          <w:szCs w:val="32"/>
          <w:highlight w:val="none"/>
        </w:rPr>
        <w:t>1.严格执行政府信息公开制度。完善政府信息公开保密审查制度，对拟公开的政府信息依法依规严格做好保密审查，防止泄露国家秘密、工作秘密和敏感信息，防范数据汇聚引发泄密风险。</w:t>
      </w: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val="en-US" w:eastAsia="zh-CN"/>
        </w:rPr>
        <w:t>区政务服务局牵头，区各部门、各镇街</w:t>
      </w:r>
      <w:r>
        <w:rPr>
          <w:rFonts w:hint="eastAsia" w:ascii="楷体_GB2312" w:hAnsi="楷体_GB2312" w:eastAsia="楷体_GB2312" w:cs="楷体_GB2312"/>
          <w:color w:val="auto"/>
          <w:sz w:val="32"/>
          <w:szCs w:val="32"/>
          <w:highlight w:val="none"/>
        </w:rPr>
        <w:t>负责落实，完成时限：2024年10月）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仿宋_GB2312" w:hAnsi="仿宋_GB2312" w:eastAsia="仿宋_GB2312" w:cs="仿宋_GB2312"/>
          <w:color w:val="auto"/>
          <w:sz w:val="32"/>
          <w:szCs w:val="32"/>
          <w:highlight w:val="none"/>
        </w:rPr>
        <w:t>2.规范设置政府信息公开专栏，及时、集中、规范发布法定主动公开内容。依法依规办理政府信息公开申请，确保申请渠道畅通，法定答复时限准确。提升政府信息公开在线服务水平，推广电子印章网页答复应用。加强政府信息公开复议、诉讼案件报备管理，强化业务统筹和案例指导，提升答复文书规范化水平，有效降低败诉、纠错率。</w:t>
      </w: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val="en-US" w:eastAsia="zh-CN"/>
        </w:rPr>
        <w:t>区政务服务局牵头，区各部门、各镇街</w:t>
      </w:r>
      <w:r>
        <w:rPr>
          <w:rFonts w:hint="eastAsia" w:ascii="楷体_GB2312" w:hAnsi="楷体_GB2312" w:eastAsia="楷体_GB2312" w:cs="楷体_GB2312"/>
          <w:color w:val="auto"/>
          <w:sz w:val="32"/>
          <w:szCs w:val="32"/>
          <w:highlight w:val="none"/>
        </w:rPr>
        <w:t>负责落实，完成时限：2024年10月）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国标黑体" w:hAnsi="国标黑体" w:eastAsia="国标黑体" w:cs="国标黑体"/>
          <w:color w:val="auto"/>
          <w:sz w:val="32"/>
          <w:szCs w:val="32"/>
          <w:highlight w:val="none"/>
        </w:rPr>
      </w:pPr>
      <w:r>
        <w:rPr>
          <w:rFonts w:hint="eastAsia" w:ascii="国标黑体" w:hAnsi="国标黑体" w:eastAsia="国标黑体" w:cs="国标黑体"/>
          <w:color w:val="auto"/>
          <w:sz w:val="32"/>
          <w:szCs w:val="32"/>
          <w:highlight w:val="none"/>
          <w:lang w:val="en-US" w:eastAsia="zh-CN"/>
        </w:rPr>
        <w:t>五、</w:t>
      </w:r>
      <w:r>
        <w:rPr>
          <w:rFonts w:hint="eastAsia" w:ascii="国标黑体" w:hAnsi="国标黑体" w:eastAsia="国标黑体" w:cs="国标黑体"/>
          <w:color w:val="auto"/>
          <w:sz w:val="32"/>
          <w:szCs w:val="32"/>
          <w:highlight w:val="none"/>
        </w:rPr>
        <w:t>加强政务公开组织保障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仿宋_GB2312" w:hAnsi="仿宋_GB2312" w:eastAsia="仿宋_GB2312" w:cs="仿宋_GB2312"/>
          <w:color w:val="auto"/>
          <w:sz w:val="32"/>
          <w:szCs w:val="32"/>
          <w:highlight w:val="none"/>
        </w:rPr>
        <w:t>1.强化组织领导。充分发挥本区政务公开</w:t>
      </w:r>
      <w:r>
        <w:rPr>
          <w:rFonts w:hint="eastAsia" w:ascii="仿宋_GB2312" w:hAnsi="仿宋_GB2312" w:eastAsia="仿宋_GB2312" w:cs="仿宋_GB2312"/>
          <w:color w:val="auto"/>
          <w:sz w:val="32"/>
          <w:szCs w:val="32"/>
          <w:highlight w:val="none"/>
          <w:lang w:val="en-US" w:eastAsia="zh-CN"/>
        </w:rPr>
        <w:t>领导小组的</w:t>
      </w:r>
      <w:r>
        <w:rPr>
          <w:rFonts w:hint="eastAsia" w:ascii="仿宋_GB2312" w:hAnsi="仿宋_GB2312" w:eastAsia="仿宋_GB2312" w:cs="仿宋_GB2312"/>
          <w:color w:val="auto"/>
          <w:sz w:val="32"/>
          <w:szCs w:val="32"/>
          <w:highlight w:val="none"/>
        </w:rPr>
        <w:t>议事协调作用，定期研究政务公开和政策服务工作，协调解决重点疑难问题。</w:t>
      </w:r>
      <w:r>
        <w:rPr>
          <w:rFonts w:hint="eastAsia" w:ascii="仿宋_GB2312" w:hAnsi="仿宋_GB2312" w:eastAsia="仿宋_GB2312" w:cs="仿宋_GB2312"/>
          <w:color w:val="auto"/>
          <w:sz w:val="32"/>
          <w:szCs w:val="32"/>
          <w:highlight w:val="none"/>
          <w:lang w:eastAsia="zh-CN"/>
        </w:rPr>
        <w:t>区</w:t>
      </w:r>
      <w:r>
        <w:rPr>
          <w:rFonts w:hint="eastAsia" w:ascii="仿宋_GB2312" w:hAnsi="仿宋_GB2312" w:eastAsia="仿宋_GB2312" w:cs="仿宋_GB2312"/>
          <w:color w:val="auto"/>
          <w:sz w:val="32"/>
          <w:szCs w:val="32"/>
          <w:highlight w:val="none"/>
        </w:rPr>
        <w:t>政府各部门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各镇街</w:t>
      </w:r>
      <w:r>
        <w:rPr>
          <w:rFonts w:hint="eastAsia" w:ascii="仿宋_GB2312" w:hAnsi="仿宋_GB2312" w:eastAsia="仿宋_GB2312" w:cs="仿宋_GB2312"/>
          <w:color w:val="auto"/>
          <w:sz w:val="32"/>
          <w:szCs w:val="32"/>
          <w:highlight w:val="none"/>
        </w:rPr>
        <w:t>要健全政务公开协调联络工作机制，指导协调和督促推动</w:t>
      </w:r>
      <w:r>
        <w:rPr>
          <w:rFonts w:hint="eastAsia" w:ascii="仿宋_GB2312" w:hAnsi="仿宋_GB2312" w:eastAsia="仿宋_GB2312" w:cs="仿宋_GB2312"/>
          <w:color w:val="auto"/>
          <w:sz w:val="32"/>
          <w:szCs w:val="32"/>
          <w:highlight w:val="none"/>
          <w:lang w:val="en-US" w:eastAsia="zh-CN"/>
        </w:rPr>
        <w:t>相关</w:t>
      </w:r>
      <w:r>
        <w:rPr>
          <w:rFonts w:hint="eastAsia" w:ascii="仿宋_GB2312" w:hAnsi="仿宋_GB2312" w:eastAsia="仿宋_GB2312" w:cs="仿宋_GB2312"/>
          <w:color w:val="auto"/>
          <w:sz w:val="32"/>
          <w:szCs w:val="32"/>
          <w:highlight w:val="none"/>
        </w:rPr>
        <w:t>业务</w:t>
      </w:r>
      <w:r>
        <w:rPr>
          <w:rFonts w:hint="eastAsia" w:ascii="仿宋_GB2312" w:hAnsi="仿宋_GB2312" w:eastAsia="仿宋_GB2312" w:cs="仿宋_GB2312"/>
          <w:color w:val="auto"/>
          <w:sz w:val="32"/>
          <w:szCs w:val="32"/>
          <w:highlight w:val="none"/>
          <w:lang w:val="en-US" w:eastAsia="zh-CN"/>
        </w:rPr>
        <w:t>科</w:t>
      </w:r>
      <w:r>
        <w:rPr>
          <w:rFonts w:hint="eastAsia" w:ascii="仿宋_GB2312" w:hAnsi="仿宋_GB2312" w:eastAsia="仿宋_GB2312" w:cs="仿宋_GB2312"/>
          <w:color w:val="auto"/>
          <w:sz w:val="32"/>
          <w:szCs w:val="32"/>
          <w:highlight w:val="none"/>
        </w:rPr>
        <w:t>室按要求开展各项工作。</w:t>
      </w: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val="en-US" w:eastAsia="zh-CN"/>
        </w:rPr>
        <w:t>区政务服务局牵头，区各部门、各镇街</w:t>
      </w:r>
      <w:r>
        <w:rPr>
          <w:rFonts w:hint="eastAsia" w:ascii="楷体_GB2312" w:hAnsi="楷体_GB2312" w:eastAsia="楷体_GB2312" w:cs="楷体_GB2312"/>
          <w:color w:val="auto"/>
          <w:sz w:val="32"/>
          <w:szCs w:val="32"/>
          <w:highlight w:val="none"/>
        </w:rPr>
        <w:t>负责落实，完成时限：2024年12月）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仿宋_GB2312" w:hAnsi="仿宋_GB2312" w:eastAsia="仿宋_GB2312" w:cs="仿宋_GB2312"/>
          <w:color w:val="auto"/>
          <w:sz w:val="32"/>
          <w:szCs w:val="32"/>
          <w:highlight w:val="none"/>
        </w:rPr>
        <w:t>2.强化队伍建设及培训。区政府各部门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各镇街</w:t>
      </w:r>
      <w:r>
        <w:rPr>
          <w:rFonts w:hint="eastAsia" w:ascii="仿宋_GB2312" w:hAnsi="仿宋_GB2312" w:eastAsia="仿宋_GB2312" w:cs="仿宋_GB2312"/>
          <w:color w:val="auto"/>
          <w:sz w:val="32"/>
          <w:szCs w:val="32"/>
          <w:highlight w:val="none"/>
        </w:rPr>
        <w:t>要强化队伍建设，明确</w:t>
      </w:r>
      <w:r>
        <w:rPr>
          <w:rFonts w:hint="eastAsia" w:ascii="仿宋_GB2312" w:hAnsi="仿宋_GB2312" w:eastAsia="仿宋_GB2312" w:cs="仿宋_GB2312"/>
          <w:color w:val="auto"/>
          <w:sz w:val="32"/>
          <w:szCs w:val="32"/>
          <w:highlight w:val="none"/>
          <w:lang w:eastAsia="zh-CN"/>
        </w:rPr>
        <w:t>政务公开和政策服务的</w:t>
      </w:r>
      <w:r>
        <w:rPr>
          <w:rFonts w:hint="eastAsia" w:ascii="仿宋_GB2312" w:hAnsi="仿宋_GB2312" w:eastAsia="仿宋_GB2312" w:cs="仿宋_GB2312"/>
          <w:color w:val="auto"/>
          <w:sz w:val="32"/>
          <w:szCs w:val="32"/>
          <w:highlight w:val="none"/>
        </w:rPr>
        <w:t>工作机构，</w:t>
      </w:r>
      <w:r>
        <w:rPr>
          <w:rFonts w:hint="eastAsia" w:ascii="仿宋_GB2312" w:hAnsi="仿宋_GB2312" w:eastAsia="仿宋_GB2312" w:cs="仿宋_GB2312"/>
          <w:color w:val="auto"/>
          <w:sz w:val="32"/>
          <w:szCs w:val="32"/>
          <w:highlight w:val="none"/>
          <w:lang w:eastAsia="zh-CN"/>
        </w:rPr>
        <w:t>配齐</w:t>
      </w:r>
      <w:r>
        <w:rPr>
          <w:rFonts w:hint="eastAsia" w:ascii="仿宋_GB2312" w:hAnsi="仿宋_GB2312" w:eastAsia="仿宋_GB2312" w:cs="仿宋_GB2312"/>
          <w:color w:val="auto"/>
          <w:sz w:val="32"/>
          <w:szCs w:val="32"/>
          <w:highlight w:val="none"/>
        </w:rPr>
        <w:t>配强工作人员,落实领导干部应知应会党内法规和国家法律清单制度要求，将学习政务公开有关行政法规作为领导干部培训基础课程和公务员初任培训必修课程，积极通过集中授课、业务研讨、线上答疑等方式加强培训。</w:t>
      </w: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eastAsia="zh-CN"/>
        </w:rPr>
        <w:t>区</w:t>
      </w:r>
      <w:r>
        <w:rPr>
          <w:rFonts w:hint="eastAsia" w:ascii="楷体_GB2312" w:hAnsi="楷体_GB2312" w:eastAsia="楷体_GB2312" w:cs="楷体_GB2312"/>
          <w:color w:val="auto"/>
          <w:sz w:val="32"/>
          <w:szCs w:val="32"/>
          <w:highlight w:val="none"/>
          <w:lang w:val="en-US" w:eastAsia="zh-CN"/>
        </w:rPr>
        <w:t>政府办、区政务服务局牵头、区人保局、区</w:t>
      </w:r>
      <w:r>
        <w:rPr>
          <w:rFonts w:hint="eastAsia" w:ascii="楷体_GB2312" w:hAnsi="楷体_GB2312" w:eastAsia="楷体_GB2312" w:cs="楷体_GB2312"/>
          <w:color w:val="auto"/>
          <w:sz w:val="32"/>
          <w:szCs w:val="32"/>
          <w:highlight w:val="none"/>
        </w:rPr>
        <w:t>各部门</w:t>
      </w:r>
      <w:r>
        <w:rPr>
          <w:rFonts w:hint="eastAsia" w:ascii="楷体_GB2312" w:hAnsi="楷体_GB2312" w:eastAsia="楷体_GB2312" w:cs="楷体_GB2312"/>
          <w:color w:val="auto"/>
          <w:sz w:val="32"/>
          <w:szCs w:val="32"/>
          <w:highlight w:val="none"/>
          <w:lang w:eastAsia="zh-CN"/>
        </w:rPr>
        <w:t>、</w:t>
      </w:r>
      <w:r>
        <w:rPr>
          <w:rFonts w:hint="eastAsia" w:ascii="楷体_GB2312" w:hAnsi="楷体_GB2312" w:eastAsia="楷体_GB2312" w:cs="楷体_GB2312"/>
          <w:color w:val="auto"/>
          <w:sz w:val="32"/>
          <w:szCs w:val="32"/>
          <w:highlight w:val="none"/>
          <w:lang w:val="en-US" w:eastAsia="zh-CN"/>
        </w:rPr>
        <w:t>各镇街</w:t>
      </w:r>
      <w:r>
        <w:rPr>
          <w:rFonts w:hint="eastAsia" w:ascii="楷体_GB2312" w:hAnsi="楷体_GB2312" w:eastAsia="楷体_GB2312" w:cs="楷体_GB2312"/>
          <w:color w:val="auto"/>
          <w:sz w:val="32"/>
          <w:szCs w:val="32"/>
          <w:highlight w:val="none"/>
        </w:rPr>
        <w:t>负责落实，完成时限：2024年12月）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仿宋_GB2312" w:hAnsi="仿宋_GB2312" w:eastAsia="仿宋_GB2312" w:cs="仿宋_GB2312"/>
          <w:color w:val="auto"/>
          <w:sz w:val="32"/>
          <w:szCs w:val="32"/>
          <w:highlight w:val="none"/>
        </w:rPr>
        <w:t>3.强化任务落实及监督考核。本工作要点印发后，</w:t>
      </w:r>
      <w:r>
        <w:rPr>
          <w:rFonts w:hint="eastAsia" w:ascii="仿宋_GB2312" w:hAnsi="仿宋_GB2312" w:eastAsia="仿宋_GB2312" w:cs="仿宋_GB2312"/>
          <w:color w:val="auto"/>
          <w:sz w:val="32"/>
          <w:szCs w:val="32"/>
          <w:highlight w:val="none"/>
          <w:lang w:eastAsia="zh-CN"/>
        </w:rPr>
        <w:t>区</w:t>
      </w:r>
      <w:r>
        <w:rPr>
          <w:rFonts w:hint="eastAsia" w:ascii="仿宋_GB2312" w:hAnsi="仿宋_GB2312" w:eastAsia="仿宋_GB2312" w:cs="仿宋_GB2312"/>
          <w:color w:val="auto"/>
          <w:sz w:val="32"/>
          <w:szCs w:val="32"/>
          <w:highlight w:val="none"/>
        </w:rPr>
        <w:t>政府各部门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各镇街</w:t>
      </w:r>
      <w:r>
        <w:rPr>
          <w:rFonts w:hint="eastAsia" w:ascii="仿宋_GB2312" w:hAnsi="仿宋_GB2312" w:eastAsia="仿宋_GB2312" w:cs="仿宋_GB2312"/>
          <w:color w:val="auto"/>
          <w:sz w:val="32"/>
          <w:szCs w:val="32"/>
          <w:highlight w:val="none"/>
        </w:rPr>
        <w:t>要</w:t>
      </w:r>
      <w:r>
        <w:rPr>
          <w:rFonts w:hint="eastAsia" w:ascii="仿宋_GB2312" w:hAnsi="仿宋_GB2312" w:eastAsia="仿宋_GB2312" w:cs="仿宋_GB2312"/>
          <w:color w:val="auto"/>
          <w:sz w:val="32"/>
          <w:szCs w:val="32"/>
          <w:highlight w:val="none"/>
          <w:lang w:val="en-US" w:eastAsia="zh-CN"/>
        </w:rPr>
        <w:t>结合工作实际</w:t>
      </w:r>
      <w:r>
        <w:rPr>
          <w:rFonts w:hint="eastAsia" w:ascii="仿宋_GB2312" w:hAnsi="仿宋_GB2312" w:eastAsia="仿宋_GB2312" w:cs="仿宋_GB2312"/>
          <w:color w:val="auto"/>
          <w:sz w:val="32"/>
          <w:szCs w:val="32"/>
          <w:highlight w:val="none"/>
        </w:rPr>
        <w:t>细化任务要求，逐项推动落实</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区政务服务局要</w:t>
      </w:r>
      <w:r>
        <w:rPr>
          <w:rFonts w:hint="eastAsia" w:ascii="仿宋_GB2312" w:hAnsi="仿宋_GB2312" w:eastAsia="仿宋_GB2312" w:cs="仿宋_GB2312"/>
          <w:color w:val="auto"/>
          <w:sz w:val="32"/>
          <w:szCs w:val="32"/>
          <w:highlight w:val="none"/>
        </w:rPr>
        <w:t>加大评估通报力度，强化“以评促改”，将政务公开</w:t>
      </w:r>
      <w:r>
        <w:rPr>
          <w:rFonts w:hint="eastAsia" w:ascii="仿宋_GB2312" w:hAnsi="仿宋_GB2312" w:eastAsia="仿宋_GB2312" w:cs="仿宋_GB2312"/>
          <w:color w:val="auto"/>
          <w:sz w:val="32"/>
          <w:szCs w:val="32"/>
          <w:highlight w:val="none"/>
          <w:lang w:eastAsia="zh-CN"/>
        </w:rPr>
        <w:t>和</w:t>
      </w:r>
      <w:r>
        <w:rPr>
          <w:rFonts w:hint="eastAsia" w:ascii="仿宋_GB2312" w:hAnsi="仿宋_GB2312" w:eastAsia="仿宋_GB2312" w:cs="仿宋_GB2312"/>
          <w:color w:val="auto"/>
          <w:sz w:val="32"/>
          <w:szCs w:val="32"/>
          <w:highlight w:val="none"/>
        </w:rPr>
        <w:t>政策服务</w:t>
      </w:r>
      <w:r>
        <w:rPr>
          <w:rFonts w:hint="eastAsia" w:ascii="仿宋_GB2312" w:hAnsi="仿宋_GB2312" w:eastAsia="仿宋_GB2312" w:cs="仿宋_GB2312"/>
          <w:color w:val="auto"/>
          <w:sz w:val="32"/>
          <w:szCs w:val="32"/>
          <w:highlight w:val="none"/>
          <w:lang w:eastAsia="zh-CN"/>
        </w:rPr>
        <w:t>重点</w:t>
      </w:r>
      <w:r>
        <w:rPr>
          <w:rFonts w:hint="eastAsia" w:ascii="仿宋_GB2312" w:hAnsi="仿宋_GB2312" w:eastAsia="仿宋_GB2312" w:cs="仿宋_GB2312"/>
          <w:color w:val="auto"/>
          <w:sz w:val="32"/>
          <w:szCs w:val="32"/>
          <w:highlight w:val="none"/>
        </w:rPr>
        <w:t>工作纳入绩效考核体系。</w:t>
      </w:r>
      <w:r>
        <w:rPr>
          <w:rFonts w:hint="eastAsia" w:ascii="仿宋_GB2312" w:hAnsi="仿宋_GB2312" w:eastAsia="仿宋_GB2312" w:cs="仿宋_GB2312"/>
          <w:color w:val="auto"/>
          <w:sz w:val="32"/>
          <w:szCs w:val="32"/>
          <w:highlight w:val="none"/>
          <w:lang w:eastAsia="zh-CN"/>
        </w:rPr>
        <w:t>推动政务公开重点任务落实情况公开，</w:t>
      </w:r>
      <w:r>
        <w:rPr>
          <w:rFonts w:hint="eastAsia" w:ascii="仿宋_GB2312" w:hAnsi="仿宋_GB2312" w:eastAsia="仿宋_GB2312" w:cs="仿宋_GB2312"/>
          <w:color w:val="auto"/>
          <w:sz w:val="32"/>
          <w:szCs w:val="32"/>
          <w:highlight w:val="none"/>
        </w:rPr>
        <w:t>在区政府门户网站开设专题栏目，集中公开本地区政务公开重点工作落实情况。</w:t>
      </w: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val="en-US" w:eastAsia="zh-CN"/>
        </w:rPr>
        <w:t>区政务服务局牵头，区各部门、各镇街</w:t>
      </w:r>
      <w:r>
        <w:rPr>
          <w:rFonts w:hint="eastAsia" w:ascii="楷体_GB2312" w:hAnsi="楷体_GB2312" w:eastAsia="楷体_GB2312" w:cs="楷体_GB2312"/>
          <w:color w:val="auto"/>
          <w:sz w:val="32"/>
          <w:szCs w:val="32"/>
          <w:highlight w:val="none"/>
        </w:rPr>
        <w:t>负责落实，完成时限：2024年12月）</w:t>
      </w:r>
    </w:p>
    <w:p>
      <w:pPr>
        <w:rPr>
          <w:highlight w:val="lightGray"/>
        </w:rPr>
      </w:pPr>
    </w:p>
    <w:sectPr>
      <w:footerReference r:id="rId3" w:type="default"/>
      <w:pgSz w:w="11906" w:h="16838"/>
      <w:pgMar w:top="1440" w:right="1486" w:bottom="1440" w:left="1800"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D7E1FAA-0A30-4C56-9DFA-CE76A522E05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A513FD71-D32E-4BD6-A99A-D4804AD3DB31}"/>
  </w:font>
  <w:font w:name="仿宋_GB2312">
    <w:panose1 w:val="02010609030101010101"/>
    <w:charset w:val="86"/>
    <w:family w:val="modern"/>
    <w:pitch w:val="default"/>
    <w:sig w:usb0="00000001" w:usb1="080E0000" w:usb2="00000000" w:usb3="00000000" w:csb0="00040000" w:csb1="00000000"/>
    <w:embedRegular r:id="rId3" w:fontKey="{F11046B8-7666-4248-94F6-384CB121ABD8}"/>
  </w:font>
  <w:font w:name="仿宋">
    <w:panose1 w:val="02010609060101010101"/>
    <w:charset w:val="86"/>
    <w:family w:val="auto"/>
    <w:pitch w:val="default"/>
    <w:sig w:usb0="800002BF" w:usb1="38CF7CFA" w:usb2="00000016" w:usb3="00000000" w:csb0="00040001" w:csb1="00000000"/>
    <w:embedRegular r:id="rId4" w:fontKey="{ECC49459-3443-44EF-96C4-7FF0C74C8157}"/>
  </w:font>
  <w:font w:name="华文中宋">
    <w:panose1 w:val="02010600040101010101"/>
    <w:charset w:val="86"/>
    <w:family w:val="auto"/>
    <w:pitch w:val="default"/>
    <w:sig w:usb0="00000287" w:usb1="080F0000" w:usb2="00000000" w:usb3="00000000" w:csb0="0004009F" w:csb1="DFD70000"/>
    <w:embedRegular r:id="rId5" w:fontKey="{7E1A54BA-C2A9-426E-8911-85976ECC97CC}"/>
  </w:font>
  <w:font w:name="楷体_GB2312">
    <w:panose1 w:val="02010609030101010101"/>
    <w:charset w:val="86"/>
    <w:family w:val="modern"/>
    <w:pitch w:val="default"/>
    <w:sig w:usb0="00000001" w:usb1="080E0000" w:usb2="00000000" w:usb3="00000000" w:csb0="00040000" w:csb1="00000000"/>
    <w:embedRegular r:id="rId6" w:fontKey="{80161A97-D91F-432D-9FD1-42D8D48220B6}"/>
  </w:font>
  <w:font w:name="楷体">
    <w:panose1 w:val="02010609060101010101"/>
    <w:charset w:val="86"/>
    <w:family w:val="auto"/>
    <w:pitch w:val="default"/>
    <w:sig w:usb0="800002BF" w:usb1="38CF7CFA" w:usb2="00000016" w:usb3="00000000" w:csb0="00040001" w:csb1="00000000"/>
    <w:embedRegular r:id="rId7" w:fontKey="{B91DE060-CB6F-45DF-89EC-61CCA3641126}"/>
  </w:font>
  <w:font w:name="国标黑体">
    <w:altName w:val="黑体"/>
    <w:panose1 w:val="02000500000000000000"/>
    <w:charset w:val="00"/>
    <w:family w:val="auto"/>
    <w:pitch w:val="default"/>
    <w:sig w:usb0="00000000" w:usb1="00000000" w:usb2="00000000" w:usb3="00000000" w:csb0="00060007" w:csb1="00000000"/>
    <w:embedRegular r:id="rId8" w:fontKey="{8A9F65F4-484F-4D7E-8CD1-EA23B2583E8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niKxQ4AgAAb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Qfr6n3V&#10;PcAUWhY2emt5TBOl8nZ5CJA2KR4F6lRBp+IBc5h6dtmZOOh/nlPU0//E4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OeIrFDgCAABvBAAADgAAAAAAAAABACAAAAAfAQAAZHJzL2Uyb0RvYy54&#10;bWxQSwUGAAAAAAYABgBZAQAAyQ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3OGE3ZTQxMWQwNWYzZjBiNGRhMWI4ODVjZWVkZjEifQ=="/>
    <w:docVar w:name="KSO_WPS_MARK_KEY" w:val="aa70ff9e-54c4-4f13-a3e7-0fa49fe9dd8c"/>
  </w:docVars>
  <w:rsids>
    <w:rsidRoot w:val="B06EBE0B"/>
    <w:rsid w:val="00CD2BDD"/>
    <w:rsid w:val="01AA40EB"/>
    <w:rsid w:val="0755108E"/>
    <w:rsid w:val="076A6ECF"/>
    <w:rsid w:val="09076D4D"/>
    <w:rsid w:val="0B263E94"/>
    <w:rsid w:val="0C8021FD"/>
    <w:rsid w:val="0F2E0B64"/>
    <w:rsid w:val="1CF4259F"/>
    <w:rsid w:val="1DA25843"/>
    <w:rsid w:val="1E5F1703"/>
    <w:rsid w:val="1F2578FE"/>
    <w:rsid w:val="20457135"/>
    <w:rsid w:val="2223097F"/>
    <w:rsid w:val="282F5051"/>
    <w:rsid w:val="29BA73A6"/>
    <w:rsid w:val="2BAA0794"/>
    <w:rsid w:val="2E112405"/>
    <w:rsid w:val="2E6E426D"/>
    <w:rsid w:val="31133301"/>
    <w:rsid w:val="33753664"/>
    <w:rsid w:val="345E6434"/>
    <w:rsid w:val="374B6C85"/>
    <w:rsid w:val="38CA7D80"/>
    <w:rsid w:val="3B7D580F"/>
    <w:rsid w:val="3C87774C"/>
    <w:rsid w:val="3D2A5645"/>
    <w:rsid w:val="3D7A2D14"/>
    <w:rsid w:val="484E0E07"/>
    <w:rsid w:val="575A40C3"/>
    <w:rsid w:val="5C3163EC"/>
    <w:rsid w:val="5E2E3403"/>
    <w:rsid w:val="5F7C3573"/>
    <w:rsid w:val="5FEEA400"/>
    <w:rsid w:val="60912DAE"/>
    <w:rsid w:val="62A328CC"/>
    <w:rsid w:val="64C37E3B"/>
    <w:rsid w:val="64D64680"/>
    <w:rsid w:val="67087B42"/>
    <w:rsid w:val="691B3B5C"/>
    <w:rsid w:val="6A2E67CC"/>
    <w:rsid w:val="6AF46E19"/>
    <w:rsid w:val="6CC94F78"/>
    <w:rsid w:val="757E594F"/>
    <w:rsid w:val="762468CB"/>
    <w:rsid w:val="7B3C656A"/>
    <w:rsid w:val="7BFB6123"/>
    <w:rsid w:val="7CBE47D7"/>
    <w:rsid w:val="7E4E4CA4"/>
    <w:rsid w:val="7FF4027C"/>
    <w:rsid w:val="B06EBE0B"/>
    <w:rsid w:val="B7FE8BA9"/>
    <w:rsid w:val="EF277CD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Plain Text"/>
    <w:basedOn w:val="1"/>
    <w:next w:val="1"/>
    <w:qFormat/>
    <w:uiPriority w:val="0"/>
    <w:rPr>
      <w:rFonts w:ascii="宋体" w:hAnsi="Courier New"/>
    </w:rPr>
  </w:style>
  <w:style w:type="paragraph" w:styleId="4">
    <w:name w:val="Normal Indent"/>
    <w:basedOn w:val="1"/>
    <w:qFormat/>
    <w:uiPriority w:val="0"/>
    <w:pPr>
      <w:ind w:firstLine="420"/>
    </w:pPr>
    <w:rPr>
      <w:rFonts w:ascii="Times New Roman" w:hAnsi="Times New Roman" w:eastAsia="宋体" w:cs="Times New Roman"/>
      <w:szCs w:val="20"/>
    </w:rPr>
  </w:style>
  <w:style w:type="paragraph" w:styleId="5">
    <w:name w:val="Body Text"/>
    <w:basedOn w:val="1"/>
    <w:next w:val="1"/>
    <w:unhideWhenUsed/>
    <w:qFormat/>
    <w:uiPriority w:val="0"/>
    <w:pPr>
      <w:spacing w:after="12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6944</Words>
  <Characters>7185</Characters>
  <Lines>0</Lines>
  <Paragraphs>0</Paragraphs>
  <TotalTime>0</TotalTime>
  <ScaleCrop>false</ScaleCrop>
  <LinksUpToDate>false</LinksUpToDate>
  <CharactersWithSpaces>7263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2024-03-02T09:39:00Z</dcterms:created>
  <dc:creator>admin</dc:creator>
  <cp:lastModifiedBy>Mint1398171869</cp:lastModifiedBy>
  <cp:lastPrinted>2024-03-04T19:08:00Z</cp:lastPrinted>
  <dcterms:modified xsi:type="dcterms:W3CDTF">2024-03-27T02:40:57Z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171BB34C38EB401DA29578A2676BB05F_13</vt:lpwstr>
  </property>
</Properties>
</file>