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p>
    <w:p>
      <w:pPr>
        <w:rPr>
          <w:rFonts w:ascii="Times New Roman" w:hAnsi="Times New Roman" w:eastAsia="黑体" w:cs="Times New Roman"/>
          <w:sz w:val="36"/>
          <w:szCs w:val="32"/>
        </w:rPr>
      </w:pPr>
    </w:p>
    <w:p>
      <w:pPr>
        <w:jc w:val="center"/>
        <w:rPr>
          <w:rFonts w:hint="eastAsia" w:ascii="方正小标宋简体" w:hAnsi="方正小标宋简体" w:eastAsia="方正小标宋简体" w:cs="方正小标宋简体"/>
          <w:bCs/>
          <w:color w:val="000000" w:themeColor="text1"/>
          <w:sz w:val="48"/>
          <w:szCs w:val="32"/>
          <w:highlight w:val="none"/>
          <w14:textFill>
            <w14:solidFill>
              <w14:schemeClr w14:val="tx1"/>
            </w14:solidFill>
          </w14:textFill>
        </w:rPr>
      </w:pPr>
      <w:r>
        <w:rPr>
          <w:rFonts w:hint="eastAsia" w:ascii="方正小标宋简体" w:hAnsi="方正小标宋简体" w:eastAsia="方正小标宋简体" w:cs="方正小标宋简体"/>
          <w:bCs/>
          <w:color w:val="000000" w:themeColor="text1"/>
          <w:sz w:val="48"/>
          <w:szCs w:val="32"/>
          <w:highlight w:val="none"/>
          <w:lang w:eastAsia="zh-CN"/>
          <w14:textFill>
            <w14:solidFill>
              <w14:schemeClr w14:val="tx1"/>
            </w14:solidFill>
          </w14:textFill>
        </w:rPr>
        <w:t>北京市</w:t>
      </w:r>
      <w:r>
        <w:rPr>
          <w:rFonts w:hint="eastAsia" w:ascii="方正小标宋简体" w:hAnsi="方正小标宋简体" w:eastAsia="方正小标宋简体" w:cs="方正小标宋简体"/>
          <w:bCs/>
          <w:color w:val="000000" w:themeColor="text1"/>
          <w:sz w:val="48"/>
          <w:szCs w:val="32"/>
          <w:highlight w:val="none"/>
          <w14:textFill>
            <w14:solidFill>
              <w14:schemeClr w14:val="tx1"/>
            </w14:solidFill>
          </w14:textFill>
        </w:rPr>
        <w:t>门头沟区“十四五”时期</w:t>
      </w:r>
    </w:p>
    <w:p>
      <w:pPr>
        <w:jc w:val="center"/>
        <w:rPr>
          <w:rFonts w:ascii="方正小标宋简体" w:hAnsi="方正小标宋简体" w:eastAsia="方正小标宋简体" w:cs="方正小标宋简体"/>
          <w:bCs/>
          <w:color w:val="000000" w:themeColor="text1"/>
          <w:sz w:val="48"/>
          <w:szCs w:val="32"/>
          <w:highlight w:val="none"/>
          <w14:textFill>
            <w14:solidFill>
              <w14:schemeClr w14:val="tx1"/>
            </w14:solidFill>
          </w14:textFill>
        </w:rPr>
      </w:pPr>
      <w:r>
        <w:rPr>
          <w:rFonts w:hint="eastAsia" w:ascii="方正小标宋简体" w:hAnsi="方正小标宋简体" w:eastAsia="方正小标宋简体" w:cs="方正小标宋简体"/>
          <w:bCs/>
          <w:color w:val="000000" w:themeColor="text1"/>
          <w:sz w:val="48"/>
          <w:szCs w:val="32"/>
          <w:highlight w:val="none"/>
          <w14:textFill>
            <w14:solidFill>
              <w14:schemeClr w14:val="tx1"/>
            </w14:solidFill>
          </w14:textFill>
        </w:rPr>
        <w:t>人力资源和社会保障发展规划</w:t>
      </w:r>
    </w:p>
    <w:p>
      <w:pPr>
        <w:jc w:val="center"/>
        <w:rPr>
          <w:rFonts w:ascii="楷体_GB2312" w:hAnsi="楷体_GB2312" w:eastAsia="楷体_GB2312" w:cs="楷体_GB2312"/>
          <w:bCs/>
          <w:color w:val="000000" w:themeColor="text1"/>
          <w:sz w:val="48"/>
          <w:szCs w:val="32"/>
          <w:highlight w:val="none"/>
          <w14:textFill>
            <w14:solidFill>
              <w14:schemeClr w14:val="tx1"/>
            </w14:solidFill>
          </w14:textFill>
        </w:rPr>
      </w:pPr>
    </w:p>
    <w:p>
      <w:pPr>
        <w:rPr>
          <w:rFonts w:ascii="楷体_GB2312" w:hAnsi="楷体_GB2312" w:eastAsia="楷体_GB2312" w:cs="楷体_GB2312"/>
          <w:bCs/>
          <w:color w:val="000000" w:themeColor="text1"/>
          <w:sz w:val="44"/>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bookmarkStart w:id="110" w:name="_GoBack"/>
      <w:bookmarkEnd w:id="110"/>
    </w:p>
    <w:p>
      <w:pPr>
        <w:jc w:val="center"/>
        <w:rPr>
          <w:rFonts w:hint="eastAsia"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Times New Roman" w:hAnsi="Times New Roman" w:eastAsia="黑体" w:cs="Times New Roman"/>
          <w:color w:val="000000" w:themeColor="text1"/>
          <w:sz w:val="40"/>
          <w:szCs w:val="32"/>
          <w:highlight w:val="none"/>
          <w14:textFill>
            <w14:solidFill>
              <w14:schemeClr w14:val="tx1"/>
            </w14:solidFill>
          </w14:textFill>
        </w:rPr>
      </w:pPr>
    </w:p>
    <w:p>
      <w:pPr>
        <w:jc w:val="center"/>
        <w:rPr>
          <w:rFonts w:ascii="楷体_GB2312" w:hAnsi="楷体_GB2312" w:eastAsia="楷体_GB2312" w:cs="楷体_GB2312"/>
          <w:bCs/>
          <w:color w:val="000000" w:themeColor="text1"/>
          <w:sz w:val="36"/>
          <w:szCs w:val="32"/>
          <w:highlight w:val="none"/>
          <w14:textFill>
            <w14:solidFill>
              <w14:schemeClr w14:val="tx1"/>
            </w14:solidFill>
          </w14:textFill>
        </w:rPr>
      </w:pPr>
      <w:r>
        <w:rPr>
          <w:rFonts w:hint="eastAsia" w:ascii="楷体_GB2312" w:hAnsi="楷体_GB2312" w:eastAsia="楷体_GB2312" w:cs="楷体_GB2312"/>
          <w:bCs/>
          <w:color w:val="000000" w:themeColor="text1"/>
          <w:sz w:val="36"/>
          <w:szCs w:val="32"/>
          <w:highlight w:val="none"/>
          <w:lang w:eastAsia="zh-CN"/>
          <w14:textFill>
            <w14:solidFill>
              <w14:schemeClr w14:val="tx1"/>
            </w14:solidFill>
          </w14:textFill>
        </w:rPr>
        <w:t>北京市</w:t>
      </w:r>
      <w:r>
        <w:rPr>
          <w:rFonts w:hint="eastAsia" w:ascii="楷体_GB2312" w:hAnsi="楷体_GB2312" w:eastAsia="楷体_GB2312" w:cs="楷体_GB2312"/>
          <w:bCs/>
          <w:color w:val="000000" w:themeColor="text1"/>
          <w:sz w:val="36"/>
          <w:szCs w:val="32"/>
          <w:highlight w:val="none"/>
          <w14:textFill>
            <w14:solidFill>
              <w14:schemeClr w14:val="tx1"/>
            </w14:solidFill>
          </w14:textFill>
        </w:rPr>
        <w:t>门头沟区人力资源和社会保障局</w:t>
      </w:r>
    </w:p>
    <w:p>
      <w:pPr>
        <w:jc w:val="center"/>
        <w:rPr>
          <w:rFonts w:ascii="Times New Roman" w:hAnsi="Times New Roman" w:eastAsia="楷体_GB2312" w:cs="Times New Roman"/>
          <w:bCs/>
          <w:color w:val="000000" w:themeColor="text1"/>
          <w:sz w:val="36"/>
          <w:szCs w:val="32"/>
          <w:highlight w:val="none"/>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pPr>
      <w:r>
        <w:rPr>
          <w:rFonts w:hint="eastAsia" w:ascii="楷体_GB2312" w:hAnsi="楷体_GB2312" w:eastAsia="楷体_GB2312" w:cs="楷体_GB2312"/>
          <w:bCs/>
          <w:color w:val="000000" w:themeColor="text1"/>
          <w:sz w:val="36"/>
          <w:szCs w:val="32"/>
          <w:highlight w:val="none"/>
          <w:lang w:val="en-US" w:eastAsia="zh-CN"/>
          <w14:textFill>
            <w14:solidFill>
              <w14:schemeClr w14:val="tx1"/>
            </w14:solidFill>
          </w14:textFill>
        </w:rPr>
        <w:t>二〇二一</w:t>
      </w:r>
      <w:r>
        <w:rPr>
          <w:rFonts w:hint="eastAsia" w:ascii="楷体_GB2312" w:hAnsi="楷体_GB2312" w:eastAsia="楷体_GB2312" w:cs="楷体_GB2312"/>
          <w:bCs/>
          <w:color w:val="000000" w:themeColor="text1"/>
          <w:sz w:val="36"/>
          <w:szCs w:val="32"/>
          <w:highlight w:val="none"/>
          <w14:textFill>
            <w14:solidFill>
              <w14:schemeClr w14:val="tx1"/>
            </w14:solidFill>
          </w14:textFill>
        </w:rPr>
        <w:t>年</w:t>
      </w:r>
      <w:r>
        <w:rPr>
          <w:rFonts w:hint="eastAsia" w:ascii="楷体_GB2312" w:hAnsi="楷体_GB2312" w:eastAsia="楷体_GB2312" w:cs="楷体_GB2312"/>
          <w:bCs/>
          <w:color w:val="000000" w:themeColor="text1"/>
          <w:sz w:val="36"/>
          <w:szCs w:val="32"/>
          <w:highlight w:val="none"/>
          <w:lang w:val="en-US" w:eastAsia="zh-CN"/>
          <w14:textFill>
            <w14:solidFill>
              <w14:schemeClr w14:val="tx1"/>
            </w14:solidFill>
          </w14:textFill>
        </w:rPr>
        <w:t>十二</w:t>
      </w:r>
      <w:r>
        <w:rPr>
          <w:rFonts w:hint="eastAsia" w:ascii="楷体_GB2312" w:hAnsi="楷体_GB2312" w:eastAsia="楷体_GB2312" w:cs="楷体_GB2312"/>
          <w:bCs/>
          <w:color w:val="000000" w:themeColor="text1"/>
          <w:sz w:val="36"/>
          <w:szCs w:val="32"/>
          <w:highlight w:val="none"/>
          <w14:textFill>
            <w14:solidFill>
              <w14:schemeClr w14:val="tx1"/>
            </w14:solidFill>
          </w14:textFill>
        </w:rPr>
        <w:t>月</w:t>
      </w:r>
    </w:p>
    <w:p>
      <w:pPr>
        <w:spacing w:before="156" w:beforeLines="50" w:after="156" w:afterLines="50"/>
        <w:jc w:val="center"/>
        <w:rPr>
          <w:rFonts w:ascii="Times New Roman" w:hAnsi="Times New Roman" w:eastAsia="黑体" w:cs="Times New Roman"/>
          <w:color w:val="000000" w:themeColor="text1"/>
          <w:sz w:val="36"/>
          <w:szCs w:val="44"/>
          <w:highlight w:val="none"/>
          <w14:textFill>
            <w14:solidFill>
              <w14:schemeClr w14:val="tx1"/>
            </w14:solidFill>
          </w14:textFill>
        </w:rPr>
      </w:pPr>
      <w:r>
        <w:rPr>
          <w:rFonts w:ascii="Times New Roman" w:hAnsi="Times New Roman" w:eastAsia="黑体" w:cs="Times New Roman"/>
          <w:color w:val="000000" w:themeColor="text1"/>
          <w:sz w:val="36"/>
          <w:szCs w:val="44"/>
          <w:highlight w:val="none"/>
          <w14:textFill>
            <w14:solidFill>
              <w14:schemeClr w14:val="tx1"/>
            </w14:solidFill>
          </w14:textFill>
        </w:rPr>
        <w:t>目</w:t>
      </w:r>
      <w:r>
        <w:rPr>
          <w:rFonts w:hint="eastAsia" w:ascii="Times New Roman" w:hAnsi="Times New Roman" w:eastAsia="黑体" w:cs="Times New Roman"/>
          <w:color w:val="000000" w:themeColor="text1"/>
          <w:sz w:val="36"/>
          <w:szCs w:val="44"/>
          <w:highlight w:val="none"/>
          <w14:textFill>
            <w14:solidFill>
              <w14:schemeClr w14:val="tx1"/>
            </w14:solidFill>
          </w14:textFill>
        </w:rPr>
        <w:t xml:space="preserve"> </w:t>
      </w:r>
      <w:r>
        <w:rPr>
          <w:rFonts w:ascii="Times New Roman" w:hAnsi="Times New Roman" w:eastAsia="黑体" w:cs="Times New Roman"/>
          <w:color w:val="000000" w:themeColor="text1"/>
          <w:sz w:val="36"/>
          <w:szCs w:val="44"/>
          <w:highlight w:val="none"/>
          <w14:textFill>
            <w14:solidFill>
              <w14:schemeClr w14:val="tx1"/>
            </w14:solidFill>
          </w14:textFill>
        </w:rPr>
        <w:t>录</w:t>
      </w:r>
    </w:p>
    <w:p>
      <w:pPr>
        <w:pStyle w:val="16"/>
        <w:keepNext w:val="0"/>
        <w:keepLines w:val="0"/>
        <w:pageBreakBefore w:val="0"/>
        <w:widowControl/>
        <w:kinsoku/>
        <w:wordWrap/>
        <w:overflowPunct/>
        <w:topLinePunct w:val="0"/>
        <w:autoSpaceDE/>
        <w:autoSpaceDN/>
        <w:bidi w:val="0"/>
        <w:adjustRightInd/>
        <w:snapToGrid/>
        <w:spacing w:beforeLines="0" w:afterLines="0"/>
        <w:textAlignment w:val="auto"/>
        <w:rPr>
          <w:rFonts w:cstheme="minorBidi"/>
          <w:color w:val="000000" w:themeColor="text1"/>
          <w:kern w:val="2"/>
          <w:sz w:val="28"/>
          <w:szCs w:val="28"/>
          <w:highlight w:val="none"/>
          <w14:textFill>
            <w14:solidFill>
              <w14:schemeClr w14:val="tx1"/>
            </w14:solidFill>
          </w14:textFill>
        </w:rPr>
      </w:pPr>
      <w:r>
        <w:rPr>
          <w:rFonts w:ascii="Times New Roman" w:hAnsi="Times New Roman" w:eastAsiaTheme="majorEastAsia"/>
          <w:color w:val="000000" w:themeColor="text1"/>
          <w:sz w:val="28"/>
          <w:szCs w:val="28"/>
          <w:highlight w:val="none"/>
          <w:lang w:val="zh-CN"/>
          <w14:textFill>
            <w14:solidFill>
              <w14:schemeClr w14:val="tx1"/>
            </w14:solidFill>
          </w14:textFill>
        </w:rPr>
        <w:fldChar w:fldCharType="begin"/>
      </w:r>
      <w:r>
        <w:rPr>
          <w:rFonts w:ascii="Times New Roman" w:hAnsi="Times New Roman" w:eastAsiaTheme="majorEastAsia"/>
          <w:color w:val="000000" w:themeColor="text1"/>
          <w:sz w:val="28"/>
          <w:szCs w:val="28"/>
          <w:highlight w:val="none"/>
          <w:lang w:val="zh-CN"/>
          <w14:textFill>
            <w14:solidFill>
              <w14:schemeClr w14:val="tx1"/>
            </w14:solidFill>
          </w14:textFill>
        </w:rPr>
        <w:instrText xml:space="preserve">TOC \o "1-3" \h \z \u</w:instrText>
      </w:r>
      <w:r>
        <w:rPr>
          <w:rFonts w:ascii="Times New Roman" w:hAnsi="Times New Roman" w:eastAsiaTheme="majorEastAsia"/>
          <w:color w:val="000000" w:themeColor="text1"/>
          <w:sz w:val="28"/>
          <w:szCs w:val="28"/>
          <w:highlight w:val="none"/>
          <w:lang w:val="zh-CN"/>
          <w14:textFill>
            <w14:solidFill>
              <w14:schemeClr w14:val="tx1"/>
            </w14:solidFill>
          </w14:textFill>
        </w:rPr>
        <w:fldChar w:fldCharType="separate"/>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"_Toc72154896" </w:instrText>
      </w:r>
      <w:r>
        <w:rPr>
          <w:color w:val="000000" w:themeColor="text1"/>
          <w:highlight w:val="none"/>
          <w14:textFill>
            <w14:solidFill>
              <w14:schemeClr w14:val="tx1"/>
            </w14:solidFill>
          </w14:textFill>
        </w:rPr>
        <w:fldChar w:fldCharType="separate"/>
      </w:r>
      <w:r>
        <w:rPr>
          <w:rStyle w:val="25"/>
          <w:rFonts w:hint="eastAsia" w:ascii="黑体" w:hAnsi="黑体" w:eastAsia="黑体" w:cs="黑体"/>
          <w:color w:val="000000" w:themeColor="text1"/>
          <w:sz w:val="28"/>
          <w:szCs w:val="28"/>
          <w:highlight w:val="none"/>
          <w14:textFill>
            <w14:solidFill>
              <w14:schemeClr w14:val="tx1"/>
            </w14:solidFill>
          </w14:textFill>
        </w:rPr>
        <w:t>一、“十三五”时期发展回顾</w:t>
      </w:r>
      <w:r>
        <w:rPr>
          <w:rStyle w:val="25"/>
          <w:rFonts w:hint="eastAsia" w:ascii="黑体" w:hAnsi="黑体" w:eastAsia="黑体" w:cs="黑体"/>
          <w:color w:val="000000" w:themeColor="text1"/>
          <w:sz w:val="28"/>
          <w:szCs w:val="28"/>
          <w:highlight w:val="none"/>
          <w14:textFill>
            <w14:solidFill>
              <w14:schemeClr w14:val="tx1"/>
            </w14:solidFill>
          </w14:textFill>
        </w:rPr>
        <w:tab/>
      </w:r>
      <w:r>
        <w:rPr>
          <w:rFonts w:hint="eastAsia"/>
          <w:color w:val="000000" w:themeColor="text1"/>
          <w:sz w:val="28"/>
          <w:szCs w:val="28"/>
          <w:highlight w:val="none"/>
          <w14:textFill>
            <w14:solidFill>
              <w14:schemeClr w14:val="tx1"/>
            </w14:solidFill>
          </w14:textFill>
        </w:rPr>
        <w:fldChar w:fldCharType="begin"/>
      </w:r>
      <w:r>
        <w:rPr>
          <w:rFonts w:hint="eastAsia"/>
          <w:color w:val="000000" w:themeColor="text1"/>
          <w:sz w:val="28"/>
          <w:szCs w:val="28"/>
          <w:highlight w:val="none"/>
          <w14:textFill>
            <w14:solidFill>
              <w14:schemeClr w14:val="tx1"/>
            </w14:solidFill>
          </w14:textFill>
        </w:rPr>
        <w:instrText xml:space="preserve"> PAGEREF _Toc72154896 \h </w:instrText>
      </w:r>
      <w:r>
        <w:rPr>
          <w:rFonts w:hint="eastAsia"/>
          <w:color w:val="000000" w:themeColor="text1"/>
          <w:sz w:val="28"/>
          <w:szCs w:val="28"/>
          <w:highlight w:val="none"/>
          <w14:textFill>
            <w14:solidFill>
              <w14:schemeClr w14:val="tx1"/>
            </w14:solidFill>
          </w14:textFill>
        </w:rPr>
        <w:fldChar w:fldCharType="separate"/>
      </w:r>
      <w:r>
        <w:rPr>
          <w:rFonts w:hint="eastAsia"/>
          <w:color w:val="000000" w:themeColor="text1"/>
          <w:sz w:val="28"/>
          <w:szCs w:val="28"/>
          <w:highlight w:val="none"/>
          <w14:textFill>
            <w14:solidFill>
              <w14:schemeClr w14:val="tx1"/>
            </w14:solidFill>
          </w14:textFill>
        </w:rPr>
        <w:t>1</w:t>
      </w:r>
      <w:r>
        <w:rPr>
          <w:rFonts w:hint="eastAsia"/>
          <w:color w:val="000000" w:themeColor="text1"/>
          <w:sz w:val="28"/>
          <w:szCs w:val="28"/>
          <w:highlight w:val="none"/>
          <w14:textFill>
            <w14:solidFill>
              <w14:schemeClr w14:val="tx1"/>
            </w14:solidFill>
          </w14:textFill>
        </w:rPr>
        <w:fldChar w:fldCharType="end"/>
      </w:r>
      <w:r>
        <w:rPr>
          <w:rFonts w:hint="eastAsia"/>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"_Toc72154897"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（一）城乡充分就业开创新局面</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_Toc72154897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"_Toc72154898"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（二）社会保障事业实现新跨越</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_Toc72154898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"_Toc72154899"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（三）人才人事工作呈现新成效</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_Toc72154899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4</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"_Toc72154900"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（四）和谐劳动关系取得新进展</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_Toc72154900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5</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"_Toc72154901"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（五）党的各项建设迈上新台阶</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_Toc72154901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5</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6"/>
        <w:keepNext w:val="0"/>
        <w:keepLines w:val="0"/>
        <w:pageBreakBefore w:val="0"/>
        <w:widowControl/>
        <w:kinsoku/>
        <w:wordWrap/>
        <w:overflowPunct/>
        <w:topLinePunct w:val="0"/>
        <w:autoSpaceDE/>
        <w:autoSpaceDN/>
        <w:bidi w:val="0"/>
        <w:adjustRightInd/>
        <w:snapToGrid/>
        <w:spacing w:beforeLines="0" w:afterLines="0"/>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"_Toc72154902" </w:instrText>
      </w:r>
      <w:r>
        <w:rPr>
          <w:color w:val="000000" w:themeColor="text1"/>
          <w:highlight w:val="none"/>
          <w14:textFill>
            <w14:solidFill>
              <w14:schemeClr w14:val="tx1"/>
            </w14:solidFill>
          </w14:textFill>
        </w:rPr>
        <w:fldChar w:fldCharType="separate"/>
      </w:r>
      <w:r>
        <w:rPr>
          <w:rStyle w:val="25"/>
          <w:rFonts w:hint="eastAsia" w:ascii="黑体" w:hAnsi="黑体" w:eastAsia="黑体" w:cs="黑体"/>
          <w:color w:val="000000" w:themeColor="text1"/>
          <w:sz w:val="28"/>
          <w:szCs w:val="28"/>
          <w:highlight w:val="none"/>
          <w14:textFill>
            <w14:solidFill>
              <w14:schemeClr w14:val="tx1"/>
            </w14:solidFill>
          </w14:textFill>
        </w:rPr>
        <w:t>二、“十四五”时期面临形势</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_Toc72154902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6</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"_Toc72154903"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（一）国家发展对人力社保的定位之高前所未有</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_Toc72154903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6</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"_Toc72154904"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（二）时代变革对人力社保的影响之大前所未有</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_Toc72154904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7</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"_Toc72154905"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（三）地区转型对人力社保的需求之强前所未有</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_Toc72154905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8</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"_Toc72154906"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（四）人民群众对人力社保的期待之多前所未有</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_Toc72154906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8</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6"/>
        <w:keepNext w:val="0"/>
        <w:keepLines w:val="0"/>
        <w:pageBreakBefore w:val="0"/>
        <w:widowControl/>
        <w:kinsoku/>
        <w:wordWrap/>
        <w:overflowPunct/>
        <w:topLinePunct w:val="0"/>
        <w:autoSpaceDE/>
        <w:autoSpaceDN/>
        <w:bidi w:val="0"/>
        <w:adjustRightInd/>
        <w:snapToGrid/>
        <w:spacing w:beforeLines="0" w:afterLines="0"/>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"_Toc72154907" </w:instrText>
      </w:r>
      <w:r>
        <w:rPr>
          <w:color w:val="000000" w:themeColor="text1"/>
          <w:highlight w:val="none"/>
          <w14:textFill>
            <w14:solidFill>
              <w14:schemeClr w14:val="tx1"/>
            </w14:solidFill>
          </w14:textFill>
        </w:rPr>
        <w:fldChar w:fldCharType="separate"/>
      </w:r>
      <w:r>
        <w:rPr>
          <w:rStyle w:val="25"/>
          <w:rFonts w:ascii="Times New Roman" w:hAnsi="Times New Roman" w:eastAsia="黑体"/>
          <w:color w:val="000000" w:themeColor="text1"/>
          <w:sz w:val="28"/>
          <w:szCs w:val="28"/>
          <w:highlight w:val="none"/>
          <w14:textFill>
            <w14:solidFill>
              <w14:schemeClr w14:val="tx1"/>
            </w14:solidFill>
          </w14:textFill>
        </w:rPr>
        <w:t>三、指导思想、原则和目标</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_Toc72154907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9</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"_Toc72154908"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（一）指导思想</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_Toc72154908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9</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"_Toc72154909"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（二）基本原则</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_Toc72154909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9</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"_Toc72154910"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1.围绕中心，服务大局</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_Toc72154910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9</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"_Toc72154911"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2.以人为本，保障民生</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_Toc72154911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10</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"_Toc72154912"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3.人才引领，创新驱动</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_Toc72154912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10</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"_Toc72154913"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4.突出重点，统筹协调</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_Toc72154913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10</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"_Toc72154914"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5.增强能力，优化服务</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_Toc72154914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10</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"_Toc72154915"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（三）发展目标</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_Toc72154915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"_Toc72154916"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1.城乡就业更加充分</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_Toc72154916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"_Toc72154917"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2.社保体系更加完善</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_Toc72154917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"_Toc72154918"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3.人才作用更加明显</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_Toc72154918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"_Toc72154919"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4.劳动关系更加和谐</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_Toc72154919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12</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"_Toc72154920"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5.公共服务更加优化</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_Toc72154920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12</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6"/>
        <w:keepNext w:val="0"/>
        <w:keepLines w:val="0"/>
        <w:pageBreakBefore w:val="0"/>
        <w:widowControl/>
        <w:kinsoku/>
        <w:wordWrap/>
        <w:overflowPunct/>
        <w:topLinePunct w:val="0"/>
        <w:autoSpaceDE/>
        <w:autoSpaceDN/>
        <w:bidi w:val="0"/>
        <w:adjustRightInd/>
        <w:snapToGrid/>
        <w:spacing w:beforeLines="0" w:afterLines="0"/>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"_Toc72154921" </w:instrText>
      </w:r>
      <w:r>
        <w:rPr>
          <w:color w:val="000000" w:themeColor="text1"/>
          <w:highlight w:val="none"/>
          <w14:textFill>
            <w14:solidFill>
              <w14:schemeClr w14:val="tx1"/>
            </w14:solidFill>
          </w14:textFill>
        </w:rPr>
        <w:fldChar w:fldCharType="separate"/>
      </w:r>
      <w:r>
        <w:rPr>
          <w:rStyle w:val="25"/>
          <w:rFonts w:ascii="Times New Roman" w:hAnsi="Times New Roman" w:eastAsia="黑体"/>
          <w:color w:val="000000" w:themeColor="text1"/>
          <w:sz w:val="28"/>
          <w:szCs w:val="28"/>
          <w:highlight w:val="none"/>
          <w14:textFill>
            <w14:solidFill>
              <w14:schemeClr w14:val="tx1"/>
            </w14:solidFill>
          </w14:textFill>
        </w:rPr>
        <w:t>四、主要任务</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_Toc72154921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13</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"_Toc72154922"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（一）加强就业工作系统化，促进城乡充分就业</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_Toc72154922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13</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"_Toc72154923"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1.强化多元共治，构建大就业新格局</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_Toc72154923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14</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"_Toc72154924"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2.强化产业助力，充分挖掘就业潜力</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_Toc72154924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15</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"_Toc72154925"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3.强化培训促进，大力提升就业质量</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_Toc72154925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16</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"_Toc72154926"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4.强化创业带动，全面拓宽就业渠道</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_Toc72154926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17</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"_Toc72154927"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5.强化政策支持，帮扶重点群体就业</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_Toc72154927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18</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"_Toc72154928"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（二）推进社会保障精细化，筑牢民生保障防线</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_Toc72154928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19</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"_Toc72154929"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1.细化各项改革任务，落实社保惠民政策</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_Toc72154929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20</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"_Toc72154930"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2.优化业务经办流程，提高社保服务水平</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_Toc72154930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"_Toc72154931"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3.健全监督管理体系，维护社保基金安全</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_Toc72154931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22</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"_Toc72154932"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（三）增强人才工作专业化，释放人力资源效能</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_Toc72154932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22</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"_Toc72154933"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1.拓宽引才引智渠道，优化人才发展环境</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_Toc72154933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23</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"_Toc72154934"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2.培育壮大人才队伍，激发人才发展活力</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_Toc72154934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24</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"_Toc72154935" </w:instrText>
      </w:r>
      <w:r>
        <w:rPr>
          <w:color w:val="000000" w:themeColor="text1"/>
          <w:highlight w:val="none"/>
          <w14:textFill>
            <w14:solidFill>
              <w14:schemeClr w14:val="tx1"/>
            </w14:solidFill>
          </w14:textFill>
        </w:rPr>
        <w:fldChar w:fldCharType="separate"/>
      </w:r>
      <w:r>
        <w:rPr>
          <w:rStyle w:val="25"/>
          <w:rFonts w:ascii="Times New Roman" w:hAnsi="Times New Roman" w:eastAsia="仿宋_GB2312"/>
          <w:color w:val="000000" w:themeColor="text1"/>
          <w:sz w:val="28"/>
          <w:szCs w:val="28"/>
          <w:highlight w:val="none"/>
          <w14:textFill>
            <w14:solidFill>
              <w14:schemeClr w14:val="tx1"/>
            </w14:solidFill>
          </w14:textFill>
        </w:rPr>
        <w:t>3.深化人事制度改革，提高人才管理水平</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_Toc72154935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25</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"_Toc72154936" </w:instrText>
      </w:r>
      <w:r>
        <w:rPr>
          <w:color w:val="000000" w:themeColor="text1"/>
          <w:highlight w:val="none"/>
          <w14:textFill>
            <w14:solidFill>
              <w14:schemeClr w14:val="tx1"/>
            </w14:solidFill>
          </w14:textFill>
        </w:rPr>
        <w:fldChar w:fldCharType="separate"/>
      </w:r>
      <w:r>
        <w:rPr>
          <w:rStyle w:val="25"/>
          <w:rFonts w:ascii="楷体_GB2312" w:hAnsi="黑体" w:eastAsia="楷体_GB2312"/>
          <w:color w:val="000000" w:themeColor="text1"/>
          <w:sz w:val="28"/>
          <w:szCs w:val="28"/>
          <w:highlight w:val="none"/>
          <w14:textFill>
            <w14:solidFill>
              <w14:schemeClr w14:val="tx1"/>
            </w14:solidFill>
          </w14:textFill>
        </w:rPr>
        <w:t>（四）促进劳动关系法治化，维护社会和谐稳定</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_Toc72154936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26</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"_Toc72154937" </w:instrText>
      </w:r>
      <w:r>
        <w:rPr>
          <w:color w:val="000000" w:themeColor="text1"/>
          <w:highlight w:val="none"/>
          <w14:textFill>
            <w14:solidFill>
              <w14:schemeClr w14:val="tx1"/>
            </w14:solidFill>
          </w14:textFill>
        </w:rPr>
        <w:fldChar w:fldCharType="separate"/>
      </w:r>
      <w:r>
        <w:rPr>
          <w:rStyle w:val="25"/>
          <w:rFonts w:ascii="仿宋_GB2312" w:eastAsia="仿宋_GB2312"/>
          <w:color w:val="000000" w:themeColor="text1"/>
          <w:sz w:val="28"/>
          <w:szCs w:val="28"/>
          <w:highlight w:val="none"/>
          <w14:textFill>
            <w14:solidFill>
              <w14:schemeClr w14:val="tx1"/>
            </w14:solidFill>
          </w14:textFill>
        </w:rPr>
        <w:t>1.健全协调机制，深化源头治理</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_Toc72154937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27</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"_Toc72154938" </w:instrText>
      </w:r>
      <w:r>
        <w:rPr>
          <w:color w:val="000000" w:themeColor="text1"/>
          <w:highlight w:val="none"/>
          <w14:textFill>
            <w14:solidFill>
              <w14:schemeClr w14:val="tx1"/>
            </w14:solidFill>
          </w14:textFill>
        </w:rPr>
        <w:fldChar w:fldCharType="separate"/>
      </w:r>
      <w:r>
        <w:rPr>
          <w:rStyle w:val="25"/>
          <w:rFonts w:ascii="仿宋_GB2312" w:eastAsia="仿宋_GB2312"/>
          <w:color w:val="000000" w:themeColor="text1"/>
          <w:sz w:val="28"/>
          <w:szCs w:val="28"/>
          <w:highlight w:val="none"/>
          <w14:textFill>
            <w14:solidFill>
              <w14:schemeClr w14:val="tx1"/>
            </w14:solidFill>
          </w14:textFill>
        </w:rPr>
        <w:t>2.注重预警防范，消除风险隐患</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_Toc72154938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27</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"_Toc72154939" </w:instrText>
      </w:r>
      <w:r>
        <w:rPr>
          <w:color w:val="000000" w:themeColor="text1"/>
          <w:highlight w:val="none"/>
          <w14:textFill>
            <w14:solidFill>
              <w14:schemeClr w14:val="tx1"/>
            </w14:solidFill>
          </w14:textFill>
        </w:rPr>
        <w:fldChar w:fldCharType="separate"/>
      </w:r>
      <w:r>
        <w:rPr>
          <w:rStyle w:val="25"/>
          <w:rFonts w:ascii="仿宋_GB2312" w:eastAsia="仿宋_GB2312"/>
          <w:color w:val="000000" w:themeColor="text1"/>
          <w:sz w:val="28"/>
          <w:szCs w:val="28"/>
          <w:highlight w:val="none"/>
          <w14:textFill>
            <w14:solidFill>
              <w14:schemeClr w14:val="tx1"/>
            </w14:solidFill>
          </w14:textFill>
        </w:rPr>
        <w:t>3.强化执法处置，规范劳动用工</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_Toc72154939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28</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"_Toc72154940" </w:instrText>
      </w:r>
      <w:r>
        <w:rPr>
          <w:color w:val="000000" w:themeColor="text1"/>
          <w:highlight w:val="none"/>
          <w14:textFill>
            <w14:solidFill>
              <w14:schemeClr w14:val="tx1"/>
            </w14:solidFill>
          </w14:textFill>
        </w:rPr>
        <w:fldChar w:fldCharType="separate"/>
      </w:r>
      <w:r>
        <w:rPr>
          <w:rStyle w:val="25"/>
          <w:rFonts w:ascii="仿宋_GB2312" w:eastAsia="仿宋_GB2312"/>
          <w:color w:val="000000" w:themeColor="text1"/>
          <w:sz w:val="28"/>
          <w:szCs w:val="28"/>
          <w:highlight w:val="none"/>
          <w14:textFill>
            <w14:solidFill>
              <w14:schemeClr w14:val="tx1"/>
            </w14:solidFill>
          </w14:textFill>
        </w:rPr>
        <w:t>4.抓好调解仲裁，提升办案质效</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_Toc72154940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28</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"_Toc72154941" </w:instrText>
      </w:r>
      <w:r>
        <w:rPr>
          <w:color w:val="000000" w:themeColor="text1"/>
          <w:highlight w:val="none"/>
          <w14:textFill>
            <w14:solidFill>
              <w14:schemeClr w14:val="tx1"/>
            </w14:solidFill>
          </w14:textFill>
        </w:rPr>
        <w:fldChar w:fldCharType="separate"/>
      </w:r>
      <w:r>
        <w:rPr>
          <w:rStyle w:val="25"/>
          <w:rFonts w:ascii="楷体_GB2312" w:eastAsia="楷体_GB2312"/>
          <w:color w:val="000000" w:themeColor="text1"/>
          <w:sz w:val="28"/>
          <w:szCs w:val="28"/>
          <w:highlight w:val="none"/>
          <w14:textFill>
            <w14:solidFill>
              <w14:schemeClr w14:val="tx1"/>
            </w14:solidFill>
          </w14:textFill>
        </w:rPr>
        <w:t>（五）推行公共服务便捷化，构建良好服务生态</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_Toc72154941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29</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"_Toc72154942" </w:instrText>
      </w:r>
      <w:r>
        <w:rPr>
          <w:color w:val="000000" w:themeColor="text1"/>
          <w:highlight w:val="none"/>
          <w14:textFill>
            <w14:solidFill>
              <w14:schemeClr w14:val="tx1"/>
            </w14:solidFill>
          </w14:textFill>
        </w:rPr>
        <w:fldChar w:fldCharType="separate"/>
      </w:r>
      <w:r>
        <w:rPr>
          <w:rStyle w:val="25"/>
          <w:rFonts w:ascii="仿宋_GB2312" w:eastAsia="仿宋_GB2312"/>
          <w:color w:val="000000" w:themeColor="text1"/>
          <w:sz w:val="28"/>
          <w:szCs w:val="28"/>
          <w:highlight w:val="none"/>
          <w14:textFill>
            <w14:solidFill>
              <w14:schemeClr w14:val="tx1"/>
            </w14:solidFill>
          </w14:textFill>
        </w:rPr>
        <w:t>1.发挥党建引领作用，持续优化营商环境</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_Toc72154942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29</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"_Toc72154943" </w:instrText>
      </w:r>
      <w:r>
        <w:rPr>
          <w:color w:val="000000" w:themeColor="text1"/>
          <w:highlight w:val="none"/>
          <w14:textFill>
            <w14:solidFill>
              <w14:schemeClr w14:val="tx1"/>
            </w14:solidFill>
          </w14:textFill>
        </w:rPr>
        <w:fldChar w:fldCharType="separate"/>
      </w:r>
      <w:r>
        <w:rPr>
          <w:rStyle w:val="25"/>
          <w:rFonts w:ascii="仿宋_GB2312" w:eastAsia="仿宋_GB2312"/>
          <w:color w:val="000000" w:themeColor="text1"/>
          <w:sz w:val="28"/>
          <w:szCs w:val="28"/>
          <w:highlight w:val="none"/>
          <w14:textFill>
            <w14:solidFill>
              <w14:schemeClr w14:val="tx1"/>
            </w14:solidFill>
          </w14:textFill>
        </w:rPr>
        <w:t>2.健全人社服务体系，强化主动服务</w:t>
      </w:r>
      <w:r>
        <w:rPr>
          <w:rStyle w:val="25"/>
          <w:rFonts w:hint="eastAsia" w:ascii="仿宋_GB2312" w:eastAsia="仿宋_GB2312"/>
          <w:color w:val="000000" w:themeColor="text1"/>
          <w:sz w:val="28"/>
          <w:szCs w:val="28"/>
          <w:highlight w:val="none"/>
          <w:lang w:eastAsia="zh-CN"/>
          <w14:textFill>
            <w14:solidFill>
              <w14:schemeClr w14:val="tx1"/>
            </w14:solidFill>
          </w14:textFill>
        </w:rPr>
        <w:t>意识</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_Toc72154943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30</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"_Toc72154944" </w:instrText>
      </w:r>
      <w:r>
        <w:rPr>
          <w:color w:val="000000" w:themeColor="text1"/>
          <w:highlight w:val="none"/>
          <w14:textFill>
            <w14:solidFill>
              <w14:schemeClr w14:val="tx1"/>
            </w14:solidFill>
          </w14:textFill>
        </w:rPr>
        <w:fldChar w:fldCharType="separate"/>
      </w:r>
      <w:r>
        <w:rPr>
          <w:rStyle w:val="25"/>
          <w:rFonts w:ascii="仿宋_GB2312" w:eastAsia="仿宋_GB2312"/>
          <w:color w:val="000000" w:themeColor="text1"/>
          <w:sz w:val="28"/>
          <w:szCs w:val="28"/>
          <w:highlight w:val="none"/>
          <w14:textFill>
            <w14:solidFill>
              <w14:schemeClr w14:val="tx1"/>
            </w14:solidFill>
          </w14:textFill>
        </w:rPr>
        <w:t>3.推进智慧人社建设，提高为民服务质量</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_Toc72154944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16"/>
        <w:keepNext w:val="0"/>
        <w:keepLines w:val="0"/>
        <w:pageBreakBefore w:val="0"/>
        <w:widowControl/>
        <w:kinsoku/>
        <w:wordWrap/>
        <w:overflowPunct/>
        <w:topLinePunct w:val="0"/>
        <w:autoSpaceDE/>
        <w:autoSpaceDN/>
        <w:bidi w:val="0"/>
        <w:adjustRightInd/>
        <w:snapToGrid/>
        <w:spacing w:beforeLines="0" w:afterLines="0"/>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"_Toc72154945" </w:instrText>
      </w:r>
      <w:r>
        <w:rPr>
          <w:color w:val="000000" w:themeColor="text1"/>
          <w:highlight w:val="none"/>
          <w14:textFill>
            <w14:solidFill>
              <w14:schemeClr w14:val="tx1"/>
            </w14:solidFill>
          </w14:textFill>
        </w:rPr>
        <w:fldChar w:fldCharType="separate"/>
      </w:r>
      <w:r>
        <w:rPr>
          <w:rStyle w:val="25"/>
          <w:rFonts w:ascii="Times New Roman" w:hAnsi="Times New Roman" w:eastAsia="黑体"/>
          <w:color w:val="000000" w:themeColor="text1"/>
          <w:sz w:val="28"/>
          <w:szCs w:val="28"/>
          <w:highlight w:val="none"/>
          <w14:textFill>
            <w14:solidFill>
              <w14:schemeClr w14:val="tx1"/>
            </w14:solidFill>
          </w14:textFill>
        </w:rPr>
        <w:t>五、保障措施</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_Toc72154945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"_Toc72154946"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（一）突出党建引领</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_Toc72154946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31</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"_Toc72154947"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（二）加强组织领导</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_Toc72154947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32</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"_Toc72154948"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（三）强化法治保障</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_Toc72154948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32</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cstheme="minorBidi"/>
          <w:color w:val="000000" w:themeColor="text1"/>
          <w:kern w:val="2"/>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"_Toc72154949" </w:instrText>
      </w:r>
      <w:r>
        <w:rPr>
          <w:color w:val="000000" w:themeColor="text1"/>
          <w:highlight w:val="none"/>
          <w14:textFill>
            <w14:solidFill>
              <w14:schemeClr w14:val="tx1"/>
            </w14:solidFill>
          </w14:textFill>
        </w:rPr>
        <w:fldChar w:fldCharType="separate"/>
      </w:r>
      <w:r>
        <w:rPr>
          <w:rStyle w:val="25"/>
          <w:rFonts w:ascii="Times New Roman" w:hAnsi="Times New Roman" w:eastAsia="楷体_GB2312"/>
          <w:color w:val="000000" w:themeColor="text1"/>
          <w:sz w:val="28"/>
          <w:szCs w:val="28"/>
          <w:highlight w:val="none"/>
          <w14:textFill>
            <w14:solidFill>
              <w14:schemeClr w14:val="tx1"/>
            </w14:solidFill>
          </w14:textFill>
        </w:rPr>
        <w:t>（四）加大财政投入</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_Toc72154949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33</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p>
    <w:p>
      <w:pPr>
        <w:pStyle w:val="20"/>
        <w:keepNext w:val="0"/>
        <w:keepLines w:val="0"/>
        <w:pageBreakBefore w:val="0"/>
        <w:widowControl/>
        <w:tabs>
          <w:tab w:val="right" w:leader="dot" w:pos="8296"/>
        </w:tabs>
        <w:kinsoku/>
        <w:wordWrap/>
        <w:overflowPunct/>
        <w:topLinePunct w:val="0"/>
        <w:autoSpaceDE/>
        <w:autoSpaceDN/>
        <w:bidi w:val="0"/>
        <w:adjustRightInd/>
        <w:snapToGrid/>
        <w:spacing w:after="0" w:line="240" w:lineRule="auto"/>
        <w:textAlignment w:val="auto"/>
        <w:rPr>
          <w:rFonts w:ascii="Times New Roman" w:hAnsi="Times New Roman" w:eastAsia="楷体_GB2312"/>
          <w:color w:val="000000" w:themeColor="text1"/>
          <w:sz w:val="28"/>
          <w:szCs w:val="28"/>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"_Toc72154950" </w:instrText>
      </w:r>
      <w:r>
        <w:rPr>
          <w:color w:val="000000" w:themeColor="text1"/>
          <w:highlight w:val="none"/>
          <w14:textFill>
            <w14:solidFill>
              <w14:schemeClr w14:val="tx1"/>
            </w14:solidFill>
          </w14:textFill>
        </w:rPr>
        <w:fldChar w:fldCharType="separate"/>
      </w:r>
      <w:r>
        <w:rPr>
          <w:rStyle w:val="25"/>
          <w:rFonts w:ascii="楷体_GB2312" w:hAnsi="楷体_GB2312" w:eastAsia="楷体_GB2312" w:cs="楷体_GB2312"/>
          <w:color w:val="000000" w:themeColor="text1"/>
          <w:sz w:val="28"/>
          <w:szCs w:val="28"/>
          <w:highlight w:val="none"/>
          <w14:textFill>
            <w14:solidFill>
              <w14:schemeClr w14:val="tx1"/>
            </w14:solidFill>
          </w14:textFill>
        </w:rPr>
        <w:t>（五）注重</w:t>
      </w:r>
      <w:r>
        <w:rPr>
          <w:rStyle w:val="25"/>
          <w:rFonts w:ascii="楷体_GB2312" w:hAnsi="宋体" w:eastAsia="楷体_GB2312"/>
          <w:color w:val="000000" w:themeColor="text1"/>
          <w:sz w:val="28"/>
          <w:szCs w:val="28"/>
          <w:highlight w:val="none"/>
          <w14:textFill>
            <w14:solidFill>
              <w14:schemeClr w14:val="tx1"/>
            </w14:solidFill>
          </w14:textFill>
        </w:rPr>
        <w:t>监测</w:t>
      </w:r>
      <w:r>
        <w:rPr>
          <w:rStyle w:val="25"/>
          <w:rFonts w:ascii="楷体_GB2312" w:hAnsi="楷体_GB2312" w:eastAsia="楷体_GB2312" w:cs="楷体_GB2312"/>
          <w:color w:val="000000" w:themeColor="text1"/>
          <w:sz w:val="28"/>
          <w:szCs w:val="28"/>
          <w:highlight w:val="none"/>
          <w14:textFill>
            <w14:solidFill>
              <w14:schemeClr w14:val="tx1"/>
            </w14:solidFill>
          </w14:textFill>
        </w:rPr>
        <w:t>评估</w:t>
      </w:r>
      <w:r>
        <w:rPr>
          <w:color w:val="000000" w:themeColor="text1"/>
          <w:sz w:val="28"/>
          <w:szCs w:val="28"/>
          <w:highlight w:val="none"/>
          <w14:textFill>
            <w14:solidFill>
              <w14:schemeClr w14:val="tx1"/>
            </w14:solidFill>
          </w14:textFill>
        </w:rPr>
        <w:tab/>
      </w:r>
      <w:r>
        <w:rPr>
          <w:color w:val="000000" w:themeColor="text1"/>
          <w:sz w:val="28"/>
          <w:szCs w:val="28"/>
          <w:highlight w:val="none"/>
          <w14:textFill>
            <w14:solidFill>
              <w14:schemeClr w14:val="tx1"/>
            </w14:solidFill>
          </w14:textFill>
        </w:rPr>
        <w:fldChar w:fldCharType="begin"/>
      </w:r>
      <w:r>
        <w:rPr>
          <w:color w:val="000000" w:themeColor="text1"/>
          <w:sz w:val="28"/>
          <w:szCs w:val="28"/>
          <w:highlight w:val="none"/>
          <w14:textFill>
            <w14:solidFill>
              <w14:schemeClr w14:val="tx1"/>
            </w14:solidFill>
          </w14:textFill>
        </w:rPr>
        <w:instrText xml:space="preserve"> PAGEREF _Toc72154950 \h </w:instrText>
      </w:r>
      <w:r>
        <w:rPr>
          <w:color w:val="000000" w:themeColor="text1"/>
          <w:sz w:val="28"/>
          <w:szCs w:val="28"/>
          <w:highlight w:val="none"/>
          <w14:textFill>
            <w14:solidFill>
              <w14:schemeClr w14:val="tx1"/>
            </w14:solidFill>
          </w14:textFill>
        </w:rPr>
        <w:fldChar w:fldCharType="separate"/>
      </w:r>
      <w:r>
        <w:rPr>
          <w:color w:val="000000" w:themeColor="text1"/>
          <w:sz w:val="28"/>
          <w:szCs w:val="28"/>
          <w:highlight w:val="none"/>
          <w14:textFill>
            <w14:solidFill>
              <w14:schemeClr w14:val="tx1"/>
            </w14:solidFill>
          </w14:textFill>
        </w:rPr>
        <w:t>33</w:t>
      </w:r>
      <w:r>
        <w:rPr>
          <w:color w:val="000000" w:themeColor="text1"/>
          <w:sz w:val="28"/>
          <w:szCs w:val="28"/>
          <w:highlight w:val="none"/>
          <w14:textFill>
            <w14:solidFill>
              <w14:schemeClr w14:val="tx1"/>
            </w14:solidFill>
          </w14:textFill>
        </w:rPr>
        <w:fldChar w:fldCharType="end"/>
      </w:r>
      <w:r>
        <w:rPr>
          <w:color w:val="000000" w:themeColor="text1"/>
          <w:sz w:val="28"/>
          <w:szCs w:val="28"/>
          <w:highlight w:val="none"/>
          <w14:textFill>
            <w14:solidFill>
              <w14:schemeClr w14:val="tx1"/>
            </w14:solidFill>
          </w14:textFill>
        </w:rPr>
        <w:fldChar w:fldCharType="end"/>
      </w:r>
      <w:r>
        <w:rPr>
          <w:rFonts w:ascii="Times New Roman" w:hAnsi="Times New Roman" w:eastAsiaTheme="majorEastAsia"/>
          <w:color w:val="000000" w:themeColor="text1"/>
          <w:sz w:val="28"/>
          <w:szCs w:val="28"/>
          <w:highlight w:val="none"/>
          <w:lang w:val="zh-CN"/>
          <w14:textFill>
            <w14:solidFill>
              <w14:schemeClr w14:val="tx1"/>
            </w14:solidFill>
          </w14:textFill>
        </w:rPr>
        <w:fldChar w:fldCharType="end"/>
      </w:r>
    </w:p>
    <w:p>
      <w:pPr>
        <w:spacing w:before="312" w:beforeLines="100" w:after="312" w:afterLines="100" w:line="540" w:lineRule="exact"/>
        <w:jc w:val="center"/>
        <w:rPr>
          <w:rFonts w:ascii="Times New Roman" w:hAnsi="Times New Roman" w:eastAsia="黑体" w:cs="Times New Roman"/>
          <w:color w:val="000000" w:themeColor="text1"/>
          <w:sz w:val="28"/>
          <w:szCs w:val="28"/>
          <w:highlight w:val="none"/>
          <w14:textFill>
            <w14:solidFill>
              <w14:schemeClr w14:val="tx1"/>
            </w14:solidFill>
          </w14:textFill>
        </w:rPr>
        <w:sectPr>
          <w:footerReference r:id="rId9" w:type="default"/>
          <w:pgSz w:w="11906" w:h="16838"/>
          <w:pgMar w:top="1440" w:right="1800" w:bottom="1440" w:left="1800" w:header="851" w:footer="992" w:gutter="0"/>
          <w:pgNumType w:fmt="upperRoman" w:start="1"/>
          <w:cols w:space="425" w:num="1"/>
          <w:docGrid w:type="lines" w:linePitch="312" w:charSpace="0"/>
        </w:sectPr>
      </w:pPr>
    </w:p>
    <w:p>
      <w:pPr>
        <w:rPr>
          <w:rFonts w:ascii="方正小标宋简体" w:hAnsi="方正小标宋简体" w:eastAsia="方正小标宋简体" w:cs="方正小标宋简体"/>
          <w:color w:val="000000" w:themeColor="text1"/>
          <w:sz w:val="32"/>
          <w:szCs w:val="44"/>
          <w:highlight w:val="none"/>
          <w14:textFill>
            <w14:solidFill>
              <w14:schemeClr w14:val="tx1"/>
            </w14:solidFill>
          </w14:textFill>
        </w:rPr>
      </w:pPr>
    </w:p>
    <w:p>
      <w:pPr>
        <w:jc w:val="center"/>
        <w:rPr>
          <w:rFonts w:hint="eastAsia" w:ascii="方正小标宋简体" w:hAnsi="方正小标宋简体" w:eastAsia="方正小标宋简体" w:cs="方正小标宋简体"/>
          <w:b/>
          <w:color w:val="000000" w:themeColor="text1"/>
          <w:spacing w:val="9"/>
          <w:w w:val="95"/>
          <w:kern w:val="0"/>
          <w:sz w:val="36"/>
          <w:szCs w:val="36"/>
          <w:highlight w:val="none"/>
          <w14:textFill>
            <w14:solidFill>
              <w14:schemeClr w14:val="tx1"/>
            </w14:solidFill>
          </w14:textFill>
        </w:rPr>
      </w:pPr>
      <w:r>
        <w:rPr>
          <w:rFonts w:hint="eastAsia" w:ascii="方正小标宋简体" w:hAnsi="方正小标宋简体" w:eastAsia="方正小标宋简体" w:cs="方正小标宋简体"/>
          <w:b/>
          <w:color w:val="000000" w:themeColor="text1"/>
          <w:spacing w:val="9"/>
          <w:w w:val="95"/>
          <w:kern w:val="0"/>
          <w:sz w:val="36"/>
          <w:szCs w:val="36"/>
          <w:highlight w:val="none"/>
          <w:lang w:eastAsia="zh-CN"/>
          <w14:textFill>
            <w14:solidFill>
              <w14:schemeClr w14:val="tx1"/>
            </w14:solidFill>
          </w14:textFill>
        </w:rPr>
        <w:t>北京市</w:t>
      </w:r>
      <w:r>
        <w:rPr>
          <w:rFonts w:hint="eastAsia" w:ascii="方正小标宋简体" w:hAnsi="方正小标宋简体" w:eastAsia="方正小标宋简体" w:cs="方正小标宋简体"/>
          <w:b/>
          <w:color w:val="000000" w:themeColor="text1"/>
          <w:spacing w:val="9"/>
          <w:w w:val="95"/>
          <w:kern w:val="0"/>
          <w:sz w:val="36"/>
          <w:szCs w:val="36"/>
          <w:highlight w:val="none"/>
          <w14:textFill>
            <w14:solidFill>
              <w14:schemeClr w14:val="tx1"/>
            </w14:solidFill>
          </w14:textFill>
        </w:rPr>
        <w:t>门头沟区“十四五”时期</w:t>
      </w:r>
    </w:p>
    <w:p>
      <w:pPr>
        <w:jc w:val="center"/>
        <w:rPr>
          <w:rFonts w:ascii="方正小标宋简体" w:hAnsi="方正小标宋简体" w:eastAsia="方正小标宋简体" w:cs="方正小标宋简体"/>
          <w:b/>
          <w:color w:val="000000" w:themeColor="text1"/>
          <w:spacing w:val="-6"/>
          <w:sz w:val="36"/>
          <w:szCs w:val="36"/>
          <w:highlight w:val="none"/>
          <w14:textFill>
            <w14:solidFill>
              <w14:schemeClr w14:val="tx1"/>
            </w14:solidFill>
          </w14:textFill>
        </w:rPr>
      </w:pPr>
      <w:r>
        <w:rPr>
          <w:rFonts w:hint="eastAsia" w:ascii="方正小标宋简体" w:hAnsi="方正小标宋简体" w:eastAsia="方正小标宋简体" w:cs="方正小标宋简体"/>
          <w:b/>
          <w:color w:val="000000" w:themeColor="text1"/>
          <w:spacing w:val="9"/>
          <w:w w:val="95"/>
          <w:kern w:val="0"/>
          <w:sz w:val="36"/>
          <w:szCs w:val="36"/>
          <w:highlight w:val="none"/>
          <w14:textFill>
            <w14:solidFill>
              <w14:schemeClr w14:val="tx1"/>
            </w14:solidFill>
          </w14:textFill>
        </w:rPr>
        <w:t>人力资源和社会保障发展规</w:t>
      </w:r>
      <w:r>
        <w:rPr>
          <w:rFonts w:hint="eastAsia" w:ascii="方正小标宋简体" w:hAnsi="方正小标宋简体" w:eastAsia="方正小标宋简体" w:cs="方正小标宋简体"/>
          <w:b/>
          <w:color w:val="000000" w:themeColor="text1"/>
          <w:spacing w:val="10"/>
          <w:w w:val="95"/>
          <w:kern w:val="0"/>
          <w:sz w:val="36"/>
          <w:szCs w:val="36"/>
          <w:highlight w:val="none"/>
          <w14:textFill>
            <w14:solidFill>
              <w14:schemeClr w14:val="tx1"/>
            </w14:solidFill>
          </w14:textFill>
        </w:rPr>
        <w:t>划</w:t>
      </w:r>
    </w:p>
    <w:p>
      <w:pPr>
        <w:rPr>
          <w:rFonts w:ascii="仿宋_GB2312" w:hAnsi="仿宋_GB2312" w:eastAsia="仿宋_GB2312" w:cs="仿宋_GB2312"/>
          <w:color w:val="000000" w:themeColor="text1"/>
          <w:sz w:val="32"/>
          <w:szCs w:val="32"/>
          <w:highlight w:val="none"/>
          <w14:textFill>
            <w14:solidFill>
              <w14:schemeClr w14:val="tx1"/>
            </w14:solidFill>
          </w14:textFill>
        </w:rPr>
      </w:pPr>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为优化人力资源供给，着力保障和改善民生，根据《北京市“十四五”时期人力资源和社会保障发展规划》和《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北京市</w:t>
      </w:r>
      <w:r>
        <w:rPr>
          <w:rFonts w:hint="eastAsia" w:ascii="仿宋_GB2312" w:hAnsi="仿宋_GB2312" w:eastAsia="仿宋_GB2312" w:cs="仿宋_GB2312"/>
          <w:color w:val="000000" w:themeColor="text1"/>
          <w:sz w:val="32"/>
          <w:szCs w:val="32"/>
          <w:highlight w:val="none"/>
          <w14:textFill>
            <w14:solidFill>
              <w14:schemeClr w14:val="tx1"/>
            </w14:solidFill>
          </w14:textFill>
        </w:rPr>
        <w:t>门头沟区国民经济和社会发展第十四个五年规划和二〇三五年远景目标纲要》，结合工作实际，制定本规划。</w:t>
      </w:r>
    </w:p>
    <w:p>
      <w:pPr>
        <w:ind w:firstLine="640" w:firstLineChars="200"/>
        <w:outlineLvl w:val="0"/>
        <w:rPr>
          <w:rFonts w:ascii="黑体" w:hAnsi="黑体" w:eastAsia="黑体" w:cs="黑体"/>
          <w:color w:val="000000" w:themeColor="text1"/>
          <w:sz w:val="32"/>
          <w:szCs w:val="32"/>
          <w:highlight w:val="none"/>
          <w14:textFill>
            <w14:solidFill>
              <w14:schemeClr w14:val="tx1"/>
            </w14:solidFill>
          </w14:textFill>
        </w:rPr>
      </w:pPr>
      <w:bookmarkStart w:id="0" w:name="_Toc72154896"/>
      <w:r>
        <w:rPr>
          <w:rFonts w:hint="eastAsia" w:ascii="黑体" w:hAnsi="黑体" w:eastAsia="黑体" w:cs="黑体"/>
          <w:color w:val="000000" w:themeColor="text1"/>
          <w:sz w:val="32"/>
          <w:szCs w:val="32"/>
          <w:highlight w:val="none"/>
          <w14:textFill>
            <w14:solidFill>
              <w14:schemeClr w14:val="tx1"/>
            </w14:solidFill>
          </w14:textFill>
        </w:rPr>
        <w:t>一、“十三五”时期发展回顾</w:t>
      </w:r>
      <w:bookmarkEnd w:id="0"/>
    </w:p>
    <w:p>
      <w:pPr>
        <w:ind w:firstLine="640" w:firstLineChars="200"/>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十三五”时期，按照市委市政府、区委区政府部署要求，坚持促改革、惠民生、防风险、保稳定，全区人力社保各项工作取得重大成就，为“红色门头沟”“绿水青山门头沟”两大品牌建设和区域高质量发展提供了有力支撑。</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1" w:name="_Toc72154897"/>
      <w:r>
        <w:rPr>
          <w:rFonts w:ascii="Times New Roman" w:hAnsi="Times New Roman" w:eastAsia="楷体_GB2312" w:cs="Times New Roman"/>
          <w:bCs/>
          <w:color w:val="000000" w:themeColor="text1"/>
          <w:sz w:val="32"/>
          <w:szCs w:val="32"/>
          <w:highlight w:val="none"/>
          <w14:textFill>
            <w14:solidFill>
              <w14:schemeClr w14:val="tx1"/>
            </w14:solidFill>
          </w14:textFill>
        </w:rPr>
        <w:t>（一）</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城乡充分就业开创新局面</w:t>
      </w:r>
      <w:bookmarkEnd w:id="1"/>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就业总体规模不断扩大。</w:t>
      </w:r>
      <w:r>
        <w:rPr>
          <w:rFonts w:hint="eastAsia" w:ascii="仿宋_GB2312" w:hAnsi="仿宋_GB2312" w:eastAsia="仿宋_GB2312" w:cs="仿宋_GB2312"/>
          <w:color w:val="000000" w:themeColor="text1"/>
          <w:sz w:val="32"/>
          <w:szCs w:val="32"/>
          <w:highlight w:val="none"/>
          <w14:textFill>
            <w14:solidFill>
              <w14:schemeClr w14:val="tx1"/>
            </w14:solidFill>
          </w14:textFill>
        </w:rPr>
        <w:t>“十三五”期间，全区城镇新增就业累计2.52万人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促进城乡劳动力就业累计2.95万人，其中就业困难人员2.12万人。城镇登记失业率由“十二五”末期的3.78%下降至2020年的3.23%。创建充分就业社区（村）166个，创建充分就业街道（乡镇）4个。</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就业促进政策深入落实。</w:t>
      </w:r>
      <w:r>
        <w:rPr>
          <w:rFonts w:hint="eastAsia" w:ascii="仿宋_GB2312" w:hAnsi="仿宋_GB2312" w:eastAsia="仿宋_GB2312" w:cs="仿宋_GB2312"/>
          <w:color w:val="000000" w:themeColor="text1"/>
          <w:sz w:val="32"/>
          <w:szCs w:val="32"/>
          <w:highlight w:val="none"/>
          <w14:textFill>
            <w14:solidFill>
              <w14:schemeClr w14:val="tx1"/>
            </w14:solidFill>
          </w14:textFill>
        </w:rPr>
        <w:t>截至2019年底，累计落实就业政策资金7.64亿元，共4.82万人次直接受益。积极应对新冠肺炎疫情，全面落实各项优惠政策，2020年累计支出失业保险金、补助金8256万元，惠及近9000名劳动力；拨付企业补贴资金5400余万元，惠及2100余家次企业近4万名职工。</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职业技能培训稳步推进。</w:t>
      </w:r>
      <w:r>
        <w:rPr>
          <w:rFonts w:hint="eastAsia" w:ascii="仿宋_GB2312" w:hAnsi="仿宋_GB2312" w:eastAsia="仿宋_GB2312" w:cs="仿宋_GB2312"/>
          <w:color w:val="000000" w:themeColor="text1"/>
          <w:sz w:val="32"/>
          <w:szCs w:val="32"/>
          <w:highlight w:val="none"/>
          <w14:textFill>
            <w14:solidFill>
              <w14:schemeClr w14:val="tx1"/>
            </w14:solidFill>
          </w14:textFill>
        </w:rPr>
        <w:t>面向重点群体、园区企业、精品民宿产业等用人需求，实施“菜单式”培训、“订单式”培训、“门头沟小院+”三个一元素定向培训，“十三五”期间，累计开展各类职业培训698期，培训15227人次，有力促进了劳动者技能水平提升。</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就业困难帮扶精准有效。</w:t>
      </w:r>
      <w:r>
        <w:rPr>
          <w:rFonts w:hint="eastAsia" w:ascii="仿宋_GB2312" w:hAnsi="仿宋_GB2312" w:eastAsia="仿宋_GB2312" w:cs="仿宋_GB2312"/>
          <w:color w:val="000000" w:themeColor="text1"/>
          <w:sz w:val="32"/>
          <w:szCs w:val="32"/>
          <w:highlight w:val="none"/>
          <w14:textFill>
            <w14:solidFill>
              <w14:schemeClr w14:val="tx1"/>
            </w14:solidFill>
          </w14:textFill>
        </w:rPr>
        <w:t>帮扶登记失业人员累计就业26164人，就业困难人员累计就业21240人，累计消除“零就业家庭”738户，“零就业家庭”保持动态清零。门头沟籍高校毕业生就业率达到95%以上，对有就业意愿的困难家庭毕业生100%帮扶。</w:t>
      </w:r>
    </w:p>
    <w:p>
      <w:pPr>
        <w:ind w:firstLine="643" w:firstLineChars="200"/>
        <w:outlineLvl w:val="3"/>
        <w:rPr>
          <w:rFonts w:ascii="Times New Roman" w:hAnsi="Times New Roman" w:eastAsia="仿宋_GB2312" w:cs="Times New Roman"/>
          <w:color w:val="000000" w:themeColor="text1"/>
          <w:sz w:val="32"/>
          <w:szCs w:val="32"/>
          <w:highlight w:val="none"/>
          <w14:textFill>
            <w14:solidFill>
              <w14:schemeClr w14:val="tx1"/>
            </w14:solidFill>
          </w14:textFill>
        </w:rPr>
      </w:pPr>
      <w:bookmarkStart w:id="2" w:name="_Toc53663363"/>
      <w:r>
        <w:rPr>
          <w:rFonts w:hint="eastAsia" w:ascii="仿宋_GB2312" w:hAnsi="仿宋_GB2312" w:eastAsia="仿宋_GB2312" w:cs="仿宋_GB2312"/>
          <w:b/>
          <w:bCs/>
          <w:color w:val="000000" w:themeColor="text1"/>
          <w:sz w:val="32"/>
          <w:szCs w:val="32"/>
          <w:highlight w:val="none"/>
          <w14:textFill>
            <w14:solidFill>
              <w14:schemeClr w14:val="tx1"/>
            </w14:solidFill>
          </w14:textFill>
        </w:rPr>
        <w:t>创业带动就业效果初显</w:t>
      </w:r>
      <w:bookmarkEnd w:id="2"/>
      <w:r>
        <w:rPr>
          <w:rFonts w:hint="eastAsia" w:ascii="仿宋_GB2312" w:hAnsi="仿宋_GB2312" w:eastAsia="仿宋_GB2312" w:cs="仿宋_GB2312"/>
          <w:b/>
          <w:bCs/>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十三五”时期，累计建成科技企业孵化器12家，入孵企业300余家，带动就业2600余人。1家生物医药孵化器被确定为北京市创业孵化示范基地。累计为失业人员、高校毕业生等发放小额担保贷款和创业担保贷款15笔449万元。</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3" w:name="_Toc72154898"/>
      <w:r>
        <w:rPr>
          <w:rFonts w:ascii="Times New Roman" w:hAnsi="Times New Roman" w:eastAsia="楷体_GB2312" w:cs="Times New Roman"/>
          <w:bCs/>
          <w:color w:val="000000" w:themeColor="text1"/>
          <w:sz w:val="32"/>
          <w:szCs w:val="32"/>
          <w:highlight w:val="none"/>
          <w14:textFill>
            <w14:solidFill>
              <w14:schemeClr w14:val="tx1"/>
            </w14:solidFill>
          </w14:textFill>
        </w:rPr>
        <w:t>（二）</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社会保障事业实现新跨越</w:t>
      </w:r>
      <w:bookmarkEnd w:id="3"/>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14:textFill>
            <w14:solidFill>
              <w14:schemeClr w14:val="tx1"/>
            </w14:solidFill>
          </w14:textFill>
        </w:rPr>
        <w:t>社保</w:t>
      </w:r>
      <w:r>
        <w:rPr>
          <w:rFonts w:ascii="Times New Roman" w:hAnsi="Times New Roman" w:eastAsia="仿宋_GB2312" w:cs="Times New Roman"/>
          <w:b/>
          <w:bCs/>
          <w:color w:val="000000" w:themeColor="text1"/>
          <w:sz w:val="32"/>
          <w:szCs w:val="32"/>
          <w:highlight w:val="none"/>
          <w14:textFill>
            <w14:solidFill>
              <w14:schemeClr w14:val="tx1"/>
            </w14:solidFill>
          </w14:textFill>
        </w:rPr>
        <w:t>扩面</w:t>
      </w:r>
      <w:r>
        <w:rPr>
          <w:rFonts w:hint="eastAsia" w:ascii="Times New Roman" w:hAnsi="Times New Roman" w:eastAsia="仿宋_GB2312" w:cs="Times New Roman"/>
          <w:b/>
          <w:bCs/>
          <w:color w:val="000000" w:themeColor="text1"/>
          <w:sz w:val="32"/>
          <w:szCs w:val="32"/>
          <w:highlight w:val="none"/>
          <w14:textFill>
            <w14:solidFill>
              <w14:schemeClr w14:val="tx1"/>
            </w14:solidFill>
          </w14:textFill>
        </w:rPr>
        <w:t>增收</w:t>
      </w:r>
      <w:r>
        <w:rPr>
          <w:rFonts w:ascii="Times New Roman" w:hAnsi="Times New Roman" w:eastAsia="仿宋_GB2312" w:cs="Times New Roman"/>
          <w:b/>
          <w:bCs/>
          <w:color w:val="000000" w:themeColor="text1"/>
          <w:sz w:val="32"/>
          <w:szCs w:val="32"/>
          <w:highlight w:val="none"/>
          <w14:textFill>
            <w14:solidFill>
              <w14:schemeClr w14:val="tx1"/>
            </w14:solidFill>
          </w14:textFill>
        </w:rPr>
        <w:t>成效显著</w:t>
      </w:r>
      <w:r>
        <w:rPr>
          <w:rFonts w:hint="eastAsia"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截至“十三五”末，养老、失业、工伤三项保险参保人数分别达到25.15万人、17.31万人、15.29万人，分别比“十二五”末提高19.23%、19.71%、11.12%。城乡居民基本养老保险续保率始终高于96%。排除2</w:t>
      </w:r>
      <w:r>
        <w:rPr>
          <w:rFonts w:ascii="仿宋_GB2312" w:eastAsia="仿宋_GB2312"/>
          <w:color w:val="000000" w:themeColor="text1"/>
          <w:sz w:val="32"/>
          <w:szCs w:val="32"/>
          <w:highlight w:val="none"/>
          <w14:textFill>
            <w14:solidFill>
              <w14:schemeClr w14:val="tx1"/>
            </w14:solidFill>
          </w14:textFill>
        </w:rPr>
        <w:t>020</w:t>
      </w:r>
      <w:r>
        <w:rPr>
          <w:rFonts w:hint="eastAsia" w:ascii="仿宋_GB2312" w:eastAsia="仿宋_GB2312"/>
          <w:color w:val="000000" w:themeColor="text1"/>
          <w:sz w:val="32"/>
          <w:szCs w:val="32"/>
          <w:highlight w:val="none"/>
          <w14:textFill>
            <w14:solidFill>
              <w14:schemeClr w14:val="tx1"/>
            </w14:solidFill>
          </w14:textFill>
        </w:rPr>
        <w:t>年受疫情影响的特殊情况，2019年养老、失业、工伤三项社保实际收入分别为18.87亿元、0.82亿元、0.57亿元，分别比“十二五”末提高51.4%、40%、23.5%。</w:t>
      </w:r>
    </w:p>
    <w:p>
      <w:pPr>
        <w:ind w:firstLine="643" w:firstLineChars="200"/>
        <w:outlineLvl w:val="3"/>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b/>
          <w:bCs/>
          <w:color w:val="000000" w:themeColor="text1"/>
          <w:sz w:val="32"/>
          <w:szCs w:val="32"/>
          <w:highlight w:val="none"/>
          <w14:textFill>
            <w14:solidFill>
              <w14:schemeClr w14:val="tx1"/>
            </w14:solidFill>
          </w14:textFill>
        </w:rPr>
        <w:t>社保待遇水平稳定增长</w:t>
      </w:r>
      <w:r>
        <w:rPr>
          <w:rFonts w:hint="eastAsia"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截至“十三五”末，</w:t>
      </w:r>
      <w:r>
        <w:rPr>
          <w:rFonts w:hint="eastAsia" w:ascii="仿宋_GB2312" w:eastAsia="仿宋_GB2312"/>
          <w:color w:val="000000" w:themeColor="text1"/>
          <w:sz w:val="32"/>
          <w:szCs w:val="32"/>
          <w:highlight w:val="none"/>
          <w14:textFill>
            <w14:solidFill>
              <w14:schemeClr w14:val="tx1"/>
            </w14:solidFill>
          </w14:textFill>
        </w:rPr>
        <w:t>企业退休人员月基本养老金平均水平由“十二五”末的每月2951元提高至每月3887元，增长31.7%。城乡居民基础养老金和福利养老金分别由“十二五”末的470元和385元，提高到人均每月830元和745元，增幅达到76.6%和93.5%。</w:t>
      </w:r>
    </w:p>
    <w:p>
      <w:pPr>
        <w:ind w:firstLine="643" w:firstLineChars="200"/>
        <w:outlineLvl w:val="3"/>
        <w:rPr>
          <w:rFonts w:ascii="Times New Roman" w:hAnsi="Times New Roman" w:eastAsia="仿宋_GB2312" w:cs="Times New Roman"/>
          <w:color w:val="000000" w:themeColor="text1"/>
          <w:sz w:val="32"/>
          <w:szCs w:val="32"/>
          <w:highlight w:val="none"/>
          <w14:textFill>
            <w14:solidFill>
              <w14:schemeClr w14:val="tx1"/>
            </w14:solidFill>
          </w14:textFill>
        </w:rPr>
      </w:pPr>
      <w:bookmarkStart w:id="4" w:name="_Toc49460141"/>
      <w:bookmarkStart w:id="5" w:name="_Toc49460140"/>
      <w:r>
        <w:rPr>
          <w:rFonts w:ascii="Times New Roman" w:hAnsi="Times New Roman" w:eastAsia="仿宋_GB2312" w:cs="Times New Roman"/>
          <w:b/>
          <w:bCs/>
          <w:color w:val="000000" w:themeColor="text1"/>
          <w:sz w:val="32"/>
          <w:szCs w:val="32"/>
          <w:highlight w:val="none"/>
          <w14:textFill>
            <w14:solidFill>
              <w14:schemeClr w14:val="tx1"/>
            </w14:solidFill>
          </w14:textFill>
        </w:rPr>
        <w:t>社保系列改革</w:t>
      </w:r>
      <w:bookmarkEnd w:id="4"/>
      <w:r>
        <w:rPr>
          <w:rFonts w:ascii="Times New Roman" w:hAnsi="Times New Roman" w:eastAsia="仿宋_GB2312" w:cs="Times New Roman"/>
          <w:b/>
          <w:bCs/>
          <w:color w:val="000000" w:themeColor="text1"/>
          <w:sz w:val="32"/>
          <w:szCs w:val="32"/>
          <w:highlight w:val="none"/>
          <w14:textFill>
            <w14:solidFill>
              <w14:schemeClr w14:val="tx1"/>
            </w14:solidFill>
          </w14:textFill>
        </w:rPr>
        <w:t>有序推进</w:t>
      </w:r>
      <w:r>
        <w:rPr>
          <w:rFonts w:hint="eastAsia"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落实深化养老保险制度改革，建立机关事业单位职业年金制度，基本完成全区机关事业单位职业年金虚账补实工作。稳妥推进企业职工与机关事业单位基本养老保险衔接。建成统一的城乡居民医疗保险制度，协调推进城镇居民和新农合两个制度的全面统一。2.84万国企退休人员实现社会化管理，助力企业减轻事务负担。</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ascii="Times New Roman" w:hAnsi="Times New Roman" w:eastAsia="仿宋_GB2312" w:cs="Times New Roman"/>
          <w:b/>
          <w:bCs/>
          <w:color w:val="000000" w:themeColor="text1"/>
          <w:sz w:val="32"/>
          <w:szCs w:val="32"/>
          <w:highlight w:val="none"/>
          <w14:textFill>
            <w14:solidFill>
              <w14:schemeClr w14:val="tx1"/>
            </w14:solidFill>
          </w14:textFill>
        </w:rPr>
        <w:t>社保经办服务不断优化</w:t>
      </w:r>
      <w:bookmarkEnd w:id="5"/>
      <w:r>
        <w:rPr>
          <w:rFonts w:hint="eastAsia"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推进综合柜员制，实现社保收缴和支付、居保转职保等业务一站式服务，逐步在社保综合服务区实现“一窗通办、一次办结”。新冠肺炎疫情防控期间，推行“不见面”服务，开通“一号咨询”，确保业务不停、服务不减、标准不降。</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bookmarkStart w:id="6" w:name="_Toc49460142"/>
      <w:r>
        <w:rPr>
          <w:rFonts w:ascii="Times New Roman" w:hAnsi="Times New Roman" w:eastAsia="仿宋_GB2312" w:cs="Times New Roman"/>
          <w:b/>
          <w:bCs/>
          <w:color w:val="000000" w:themeColor="text1"/>
          <w:sz w:val="32"/>
          <w:szCs w:val="32"/>
          <w:highlight w:val="none"/>
          <w14:textFill>
            <w14:solidFill>
              <w14:schemeClr w14:val="tx1"/>
            </w14:solidFill>
          </w14:textFill>
        </w:rPr>
        <w:t>基金安全</w:t>
      </w:r>
      <w:bookmarkEnd w:id="6"/>
      <w:r>
        <w:rPr>
          <w:rFonts w:ascii="Times New Roman" w:hAnsi="Times New Roman" w:eastAsia="仿宋_GB2312" w:cs="Times New Roman"/>
          <w:b/>
          <w:bCs/>
          <w:color w:val="000000" w:themeColor="text1"/>
          <w:sz w:val="32"/>
          <w:szCs w:val="32"/>
          <w:highlight w:val="none"/>
          <w14:textFill>
            <w14:solidFill>
              <w14:schemeClr w14:val="tx1"/>
            </w14:solidFill>
          </w14:textFill>
        </w:rPr>
        <w:t>防线更加牢固</w:t>
      </w:r>
      <w:r>
        <w:rPr>
          <w:rFonts w:hint="eastAsia"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推进社保经办部门内控制度建设，对基金支付重点业务采取分权审批制度，推进风险防控端口前移。充分发挥科技防控作用，“十三五”期间，社保基金监督系统累计处理疑似问题指标2016条，指标处理完成率100%。</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7" w:name="_Toc72154899"/>
      <w:r>
        <w:rPr>
          <w:rFonts w:ascii="Times New Roman" w:hAnsi="Times New Roman" w:eastAsia="楷体_GB2312" w:cs="Times New Roman"/>
          <w:bCs/>
          <w:color w:val="000000" w:themeColor="text1"/>
          <w:sz w:val="32"/>
          <w:szCs w:val="32"/>
          <w:highlight w:val="none"/>
          <w14:textFill>
            <w14:solidFill>
              <w14:schemeClr w14:val="tx1"/>
            </w14:solidFill>
          </w14:textFill>
        </w:rPr>
        <w:t>（三）人才</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人事工作呈现新成效</w:t>
      </w:r>
      <w:bookmarkEnd w:id="7"/>
    </w:p>
    <w:p>
      <w:pPr>
        <w:ind w:firstLine="643" w:firstLineChars="200"/>
        <w:outlineLvl w:val="3"/>
        <w:rPr>
          <w:rFonts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人才队伍实力不断增强。</w:t>
      </w:r>
      <w:r>
        <w:rPr>
          <w:rFonts w:hint="eastAsia" w:ascii="仿宋_GB2312" w:hAnsi="仿宋_GB2312" w:eastAsia="仿宋_GB2312" w:cs="仿宋_GB2312"/>
          <w:color w:val="000000" w:themeColor="text1"/>
          <w:sz w:val="32"/>
          <w:szCs w:val="32"/>
          <w:highlight w:val="none"/>
          <w14:textFill>
            <w14:solidFill>
              <w14:schemeClr w14:val="tx1"/>
            </w14:solidFill>
          </w14:textFill>
        </w:rPr>
        <w:t>截至“十三五”末，全区共有事业单位专业技术人员5298人，其中中级和高级职称人员占比62.8%。技能人才数量不断增长，高技能人才达到2000人。开展中小学教师和医务人员专业技术职务评价和聘用工作，普教机构和卫生系统职称结构比例优化调整。高层次人才引进不断加速，“十三五”期间共引进外埠高级人才15名。</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bookmarkStart w:id="8" w:name="_Toc49460149"/>
      <w:bookmarkStart w:id="9" w:name="_Toc49460150"/>
      <w:bookmarkStart w:id="10" w:name="_Toc49460148"/>
      <w:r>
        <w:rPr>
          <w:rFonts w:hint="eastAsia" w:ascii="仿宋_GB2312" w:hAnsi="仿宋_GB2312" w:eastAsia="仿宋_GB2312" w:cs="仿宋_GB2312"/>
          <w:b/>
          <w:bCs/>
          <w:color w:val="000000" w:themeColor="text1"/>
          <w:sz w:val="32"/>
          <w:szCs w:val="32"/>
          <w:highlight w:val="none"/>
          <w14:textFill>
            <w14:solidFill>
              <w14:schemeClr w14:val="tx1"/>
            </w14:solidFill>
          </w14:textFill>
        </w:rPr>
        <w:t>人事管理更加科学规范。</w:t>
      </w:r>
      <w:bookmarkEnd w:id="8"/>
      <w:bookmarkEnd w:id="9"/>
      <w:bookmarkEnd w:id="10"/>
      <w:r>
        <w:rPr>
          <w:rFonts w:hint="eastAsia" w:ascii="仿宋_GB2312" w:hAnsi="仿宋_GB2312" w:eastAsia="仿宋_GB2312" w:cs="仿宋_GB2312"/>
          <w:color w:val="000000" w:themeColor="text1"/>
          <w:sz w:val="32"/>
          <w:szCs w:val="32"/>
          <w:highlight w:val="none"/>
          <w14:textFill>
            <w14:solidFill>
              <w14:schemeClr w14:val="tx1"/>
            </w14:solidFill>
          </w14:textFill>
        </w:rPr>
        <w:t>不断深化岗位管理和聘用制度改革，人事管理实现由身份管理向岗位管理转变。公务员考录机制和事业单位公开招聘工作规程、机关事业单位绩效考核体系更加健全。事业单位绩效工资改革持续深化。科级干部选拔任用工作更加统一、科学、规范。纳入规范管理事业单位改革平稳推进。“十三五”期间，全区累计开展机关事业单位各类干部教育培训班32期，培训17733人次。</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人才发展环境日益改善。</w:t>
      </w:r>
      <w:r>
        <w:rPr>
          <w:rFonts w:hint="eastAsia" w:ascii="仿宋_GB2312" w:hAnsi="仿宋_GB2312" w:eastAsia="仿宋_GB2312" w:cs="仿宋_GB2312"/>
          <w:color w:val="000000" w:themeColor="text1"/>
          <w:sz w:val="32"/>
          <w:szCs w:val="32"/>
          <w:highlight w:val="none"/>
          <w14:textFill>
            <w14:solidFill>
              <w14:schemeClr w14:val="tx1"/>
            </w14:solidFill>
          </w14:textFill>
        </w:rPr>
        <w:t>实行《门头沟区人才租赁住房管理办法(试行)》，272名申请人入住人才公寓。拓宽“大学生村官”就业渠道，拿出专项事业编岗位，面向期满大学生村官进行公开选拔。鼓励优质企业申报博士后科研工作站，构建人才发展平台。鼓励优秀人才参加高端领军人才职称评审直通车，畅通人才职称晋升渠道。</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11" w:name="_Toc72154900"/>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四</w:t>
      </w:r>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和谐劳动关系取得新进展</w:t>
      </w:r>
      <w:bookmarkEnd w:id="11"/>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bookmarkStart w:id="12" w:name="_Toc49460152"/>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劳动用工</w:t>
      </w:r>
      <w:bookmarkEnd w:id="12"/>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源头治理成效突出。</w:t>
      </w:r>
      <w:r>
        <w:rPr>
          <w:rFonts w:hint="eastAsia" w:ascii="仿宋_GB2312" w:eastAsia="仿宋_GB2312"/>
          <w:color w:val="000000" w:themeColor="text1"/>
          <w:sz w:val="32"/>
          <w:szCs w:val="32"/>
          <w:highlight w:val="none"/>
          <w14:textFill>
            <w14:solidFill>
              <w14:schemeClr w14:val="tx1"/>
            </w14:solidFill>
          </w14:textFill>
        </w:rPr>
        <w:t>“十三五”期间，区属重点受监控企业劳动合同签订率均达到100%，区属受控企业城镇职工劳动合同续订率多数年份达到91%以上。</w:t>
      </w:r>
      <w:r>
        <w:rPr>
          <w:rFonts w:hint="eastAsia" w:ascii="仿宋_GB2312" w:eastAsia="仿宋_GB2312"/>
          <w:bCs/>
          <w:color w:val="000000" w:themeColor="text1"/>
          <w:sz w:val="32"/>
          <w:szCs w:val="32"/>
          <w:highlight w:val="none"/>
          <w14:textFill>
            <w14:solidFill>
              <w14:schemeClr w14:val="tx1"/>
            </w14:solidFill>
          </w14:textFill>
        </w:rPr>
        <w:t>全面推行以银行保函方式替代现金</w:t>
      </w:r>
      <w:r>
        <w:rPr>
          <w:rFonts w:hint="eastAsia" w:ascii="仿宋_GB2312" w:eastAsia="仿宋_GB2312"/>
          <w:color w:val="000000" w:themeColor="text1"/>
          <w:sz w:val="32"/>
          <w:szCs w:val="32"/>
          <w:highlight w:val="none"/>
          <w14:textFill>
            <w14:solidFill>
              <w14:schemeClr w14:val="tx1"/>
            </w14:solidFill>
          </w14:textFill>
        </w:rPr>
        <w:t>方式</w:t>
      </w:r>
      <w:r>
        <w:rPr>
          <w:rFonts w:hint="eastAsia" w:ascii="仿宋_GB2312" w:eastAsia="仿宋_GB2312"/>
          <w:bCs/>
          <w:color w:val="000000" w:themeColor="text1"/>
          <w:sz w:val="32"/>
          <w:szCs w:val="32"/>
          <w:highlight w:val="none"/>
          <w14:textFill>
            <w14:solidFill>
              <w14:schemeClr w14:val="tx1"/>
            </w14:solidFill>
          </w14:textFill>
        </w:rPr>
        <w:t>缴纳工资保证金制度，实现覆盖率100%。以国务院治欠保支三年行动计划为契机，通过与区住建委、公安分局、司法局等各单位的协调联动，为2115名农民工追回工资2828.32万元。</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劳动关系协调机制逐步完善。</w:t>
      </w:r>
      <w:r>
        <w:rPr>
          <w:rFonts w:hint="eastAsia" w:ascii="仿宋_GB2312" w:eastAsia="仿宋_GB2312"/>
          <w:color w:val="000000" w:themeColor="text1"/>
          <w:sz w:val="32"/>
          <w:szCs w:val="32"/>
          <w:highlight w:val="none"/>
          <w14:textFill>
            <w14:solidFill>
              <w14:schemeClr w14:val="tx1"/>
            </w14:solidFill>
          </w14:textFill>
        </w:rPr>
        <w:t>成立由区人力社保局、总工会、工商联组成的协调劳动关系三方委员会，形成维护劳动关系稳定的合力。指导用人单位和劳动者就涉及劳动关系调整方面的问题开展对话协商，截至“十三五”末，共有1025户建会企业签订集体合同，占建会企业的87%。</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劳动争议调解稳步推进。</w:t>
      </w:r>
      <w:r>
        <w:rPr>
          <w:rFonts w:hint="eastAsia" w:ascii="仿宋_GB2312" w:eastAsia="仿宋_GB2312"/>
          <w:color w:val="000000" w:themeColor="text1"/>
          <w:sz w:val="32"/>
          <w:szCs w:val="32"/>
          <w:highlight w:val="none"/>
          <w14:textFill>
            <w14:solidFill>
              <w14:schemeClr w14:val="tx1"/>
            </w14:solidFill>
          </w14:textFill>
        </w:rPr>
        <w:t>截至“十三五”末，累计受理劳动人事争议案件2579件，涉案金额2.92亿元，结案率保持在98%以上，调解和经调解撤诉率、一裁终局案件占裁决案件的比例逐年提升。</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13" w:name="_Toc72154901"/>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（五）党的各项建设迈上新台阶</w:t>
      </w:r>
      <w:bookmarkEnd w:id="13"/>
    </w:p>
    <w:p>
      <w:pPr>
        <w:ind w:firstLine="643" w:firstLineChars="200"/>
        <w:outlineLvl w:val="3"/>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特色党建品牌积极创建。</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以“红色门头沟”党建为引领，紧扣机关党建“服务中心、建设队伍”两大核心任务，精心创建“红色流水线、服务零距离”人保特色党建品牌，构建线面一体人社服务新模式，荣获第六届全国文明单位、北京市2019-2020年度“接诉即办”改革工作先进集体和北京市脱贫攻坚先进集体称号。</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“局科长走流程”效果显著。</w:t>
      </w:r>
      <w:r>
        <w:rPr>
          <w:rFonts w:hint="eastAsia" w:ascii="仿宋_GB2312" w:eastAsia="仿宋_GB2312"/>
          <w:color w:val="000000" w:themeColor="text1"/>
          <w:sz w:val="32"/>
          <w:szCs w:val="32"/>
          <w:highlight w:val="none"/>
          <w14:textFill>
            <w14:solidFill>
              <w14:schemeClr w14:val="tx1"/>
            </w14:solidFill>
          </w14:textFill>
        </w:rPr>
        <w:t>以“领导带头解难题，红色服务暖民心”为主题，开展“局科长走流程”专项活动，推动“群众来回跑”向“部门协同办”转变，疏通服务“堵点”，解决发展“难点”，消除群众“痛点”，打通民生服务最后一延米，民生大厅被评为全国人力资源社会保障系统2017-2019年度优质服务窗口。</w:t>
      </w:r>
    </w:p>
    <w:p>
      <w:pPr>
        <w:ind w:firstLine="643" w:firstLineChars="200"/>
        <w:outlineLvl w:val="3"/>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全面从严治党深入推进。</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坚持高标准、严要求推进全面从严治党，建立“一级抓一级，层层抓落实”的工作格局，以开展支部规范化建设为抓手，全面加强机关党委的政治建设、思想建设、组织建设、作风建设、纪律建设，把制度建设贯穿全面从严治党的全过程</w:t>
      </w:r>
      <w:r>
        <w:rPr>
          <w:rFonts w:ascii="仿宋_GB2312" w:hAnsi="Times New Roman" w:eastAsia="仿宋_GB2312" w:cs="Times New Roman"/>
          <w:color w:val="000000" w:themeColor="text1"/>
          <w:sz w:val="32"/>
          <w:szCs w:val="32"/>
          <w:highlight w:val="none"/>
          <w14:textFill>
            <w14:solidFill>
              <w14:schemeClr w14:val="tx1"/>
            </w14:solidFill>
          </w14:textFill>
        </w:rPr>
        <w:t>。</w:t>
      </w:r>
    </w:p>
    <w:p>
      <w:pPr>
        <w:ind w:firstLine="640" w:firstLineChars="200"/>
        <w:outlineLvl w:val="0"/>
        <w:rPr>
          <w:rFonts w:ascii="黑体" w:hAnsi="黑体" w:eastAsia="黑体" w:cs="黑体"/>
          <w:color w:val="000000" w:themeColor="text1"/>
          <w:sz w:val="32"/>
          <w:szCs w:val="32"/>
          <w:highlight w:val="none"/>
          <w14:textFill>
            <w14:solidFill>
              <w14:schemeClr w14:val="tx1"/>
            </w14:solidFill>
          </w14:textFill>
        </w:rPr>
      </w:pPr>
      <w:bookmarkStart w:id="14" w:name="_Toc72154902"/>
      <w:r>
        <w:rPr>
          <w:rFonts w:hint="eastAsia" w:ascii="黑体" w:hAnsi="黑体" w:eastAsia="黑体" w:cs="黑体"/>
          <w:color w:val="000000" w:themeColor="text1"/>
          <w:sz w:val="32"/>
          <w:szCs w:val="32"/>
          <w:highlight w:val="none"/>
          <w14:textFill>
            <w14:solidFill>
              <w14:schemeClr w14:val="tx1"/>
            </w14:solidFill>
          </w14:textFill>
        </w:rPr>
        <w:t>二、“十四五”时期面临形势</w:t>
      </w:r>
      <w:bookmarkEnd w:id="14"/>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十四五”时期是我国向第二个百年奋斗目标进军的第一个五年，也是门头沟区主动适应新发展阶段、贯彻新发展理念、构建新发展格局的关键时期。在全面迈向高质量发展的过程中，认清新形势、新任务，落实新部署、新要求，对于推动人力社保事业再上新台阶具有重要意义。</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15" w:name="_Toc72154903"/>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（一）国家发展对人力社保的定位之高前所未有</w:t>
      </w:r>
      <w:bookmarkEnd w:id="15"/>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当今世界正经历百年未有之大变局，我国发展的内、外部环境正在发生深刻复杂变化，新冠肺炎疫情、中美贸易战等多重不利因素叠加，人力社保工作已经成为关系国计民生、社会稳定的头等大事。2018年以来，党中央、国务院把就业放在“六稳”、“六保”之首，减税降费、援企稳岗、职业培训等一系列就业举措相继落地，人力社保工作从单一的部门职责转变为各行业部门、各属地政府、各生产主体和全社会共同关注的焦点，部门联动和上下协同渐成共识，多元共治的合力正在形成。人力社保事业的重要地位得到前所未有的彰显，为推动各项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高标准开展注入</w:t>
      </w:r>
      <w:r>
        <w:rPr>
          <w:rFonts w:hint="eastAsia" w:ascii="仿宋_GB2312" w:hAnsi="仿宋_GB2312" w:eastAsia="仿宋_GB2312" w:cs="仿宋_GB2312"/>
          <w:color w:val="000000" w:themeColor="text1"/>
          <w:sz w:val="32"/>
          <w:szCs w:val="32"/>
          <w:highlight w:val="none"/>
          <w14:textFill>
            <w14:solidFill>
              <w14:schemeClr w14:val="tx1"/>
            </w14:solidFill>
          </w14:textFill>
        </w:rPr>
        <w:t>了强大动力。</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16" w:name="_Toc72154904"/>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（二）时代变革对人力社保的影响之大前所未有</w:t>
      </w:r>
      <w:bookmarkEnd w:id="16"/>
    </w:p>
    <w:p>
      <w:pPr>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当前正处于技术创新、消费方式、人口结构等快速变化的时代，这些变化深刻影响着就业、人才、劳动关系和社会保障工作。</w:t>
      </w:r>
      <w:r>
        <w:rPr>
          <w:rFonts w:ascii="Times New Roman" w:hAnsi="Times New Roman" w:eastAsia="仿宋_GB2312" w:cs="Times New Roman"/>
          <w:color w:val="000000" w:themeColor="text1"/>
          <w:sz w:val="32"/>
          <w:szCs w:val="32"/>
          <w:highlight w:val="none"/>
          <w14:textFill>
            <w14:solidFill>
              <w14:schemeClr w14:val="tx1"/>
            </w14:solidFill>
          </w14:textFill>
        </w:rPr>
        <w:t>以平台经济为主的新业态</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新模式蓬勃发展</w:t>
      </w:r>
      <w:r>
        <w:rPr>
          <w:rFonts w:ascii="Times New Roman" w:hAnsi="Times New Roman" w:eastAsia="仿宋_GB2312" w:cs="Times New Roman"/>
          <w:color w:val="000000" w:themeColor="text1"/>
          <w:sz w:val="32"/>
          <w:szCs w:val="32"/>
          <w:highlight w:val="none"/>
          <w14:textFill>
            <w14:solidFill>
              <w14:schemeClr w14:val="tx1"/>
            </w14:solidFill>
          </w14:textFill>
        </w:rPr>
        <w:t>，将催生</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一批</w:t>
      </w:r>
      <w:r>
        <w:rPr>
          <w:rFonts w:ascii="Times New Roman" w:hAnsi="Times New Roman" w:eastAsia="仿宋_GB2312" w:cs="Times New Roman"/>
          <w:color w:val="000000" w:themeColor="text1"/>
          <w:sz w:val="32"/>
          <w:szCs w:val="32"/>
          <w:highlight w:val="none"/>
          <w14:textFill>
            <w14:solidFill>
              <w14:schemeClr w14:val="tx1"/>
            </w14:solidFill>
          </w14:textFill>
        </w:rPr>
        <w:t>新的就业形式和职业工种，</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共享用工、灵活就业等日益增多，</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对</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促进</w:t>
      </w:r>
      <w:r>
        <w:rPr>
          <w:rFonts w:ascii="Times New Roman" w:hAnsi="Times New Roman" w:eastAsia="仿宋_GB2312" w:cs="Times New Roman"/>
          <w:color w:val="000000" w:themeColor="text1"/>
          <w:sz w:val="32"/>
          <w:szCs w:val="32"/>
          <w:highlight w:val="none"/>
          <w14:textFill>
            <w14:solidFill>
              <w14:schemeClr w14:val="tx1"/>
            </w14:solidFill>
          </w14:textFill>
        </w:rPr>
        <w:t>就业和</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创新参保方式提出了新要求。新生代从业人员择业观念发生巨大转变，更自主、受尊重、被认可、能体现价值成为主要诉求，就业促进和人力资源管理必须顺应这种变化。社保扩面征缴空间持续收窄、享受待遇人群增加、待遇刚性增长和人口老龄化加剧等情况愈加严峻，托底保障迎来新的挑战。</w:t>
      </w:r>
      <w:r>
        <w:rPr>
          <w:rFonts w:ascii="Times New Roman" w:hAnsi="Times New Roman" w:eastAsia="仿宋_GB2312" w:cs="Times New Roman"/>
          <w:color w:val="000000" w:themeColor="text1"/>
          <w:sz w:val="32"/>
          <w:szCs w:val="32"/>
          <w:highlight w:val="none"/>
          <w14:textFill>
            <w14:solidFill>
              <w14:schemeClr w14:val="tx1"/>
            </w14:solidFill>
          </w14:textFill>
        </w:rPr>
        <w:t>京津冀协同发展</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深入推进</w:t>
      </w:r>
      <w:r>
        <w:rPr>
          <w:rFonts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线上办</w:t>
      </w:r>
      <w:r>
        <w:rPr>
          <w:rFonts w:ascii="仿宋_GB2312" w:hAnsi="Times New Roman" w:eastAsia="仿宋_GB2312" w:cs="Times New Roman"/>
          <w:bCs/>
          <w:color w:val="000000" w:themeColor="text1"/>
          <w:sz w:val="32"/>
          <w:szCs w:val="32"/>
          <w:highlight w:val="none"/>
          <w14:textFill>
            <w14:solidFill>
              <w14:schemeClr w14:val="tx1"/>
            </w14:solidFill>
          </w14:textFill>
        </w:rPr>
        <w:t>理</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bCs/>
          <w:color w:val="000000" w:themeColor="text1"/>
          <w:sz w:val="32"/>
          <w:szCs w:val="32"/>
          <w:highlight w:val="none"/>
          <w14:textFill>
            <w14:solidFill>
              <w14:schemeClr w14:val="tx1"/>
            </w14:solidFill>
          </w14:textFill>
        </w:rPr>
        <w:t>基层</w:t>
      </w:r>
      <w:r>
        <w:rPr>
          <w:rFonts w:ascii="仿宋_GB2312" w:hAnsi="Times New Roman" w:eastAsia="仿宋_GB2312" w:cs="Times New Roman"/>
          <w:bCs/>
          <w:color w:val="000000" w:themeColor="text1"/>
          <w:sz w:val="32"/>
          <w:szCs w:val="32"/>
          <w:highlight w:val="none"/>
          <w14:textFill>
            <w14:solidFill>
              <w14:schemeClr w14:val="tx1"/>
            </w14:solidFill>
          </w14:textFill>
        </w:rPr>
        <w:t>办理、</w:t>
      </w:r>
      <w:r>
        <w:rPr>
          <w:rFonts w:hint="eastAsia" w:ascii="仿宋_GB2312" w:hAnsi="Times New Roman" w:eastAsia="仿宋_GB2312" w:cs="Times New Roman"/>
          <w:bCs/>
          <w:color w:val="000000" w:themeColor="text1"/>
          <w:sz w:val="32"/>
          <w:szCs w:val="32"/>
          <w:highlight w:val="none"/>
          <w14:textFill>
            <w14:solidFill>
              <w14:schemeClr w14:val="tx1"/>
            </w14:solidFill>
          </w14:textFill>
        </w:rPr>
        <w:t>异地</w:t>
      </w:r>
      <w:r>
        <w:rPr>
          <w:rFonts w:ascii="仿宋_GB2312" w:hAnsi="Times New Roman" w:eastAsia="仿宋_GB2312" w:cs="Times New Roman"/>
          <w:bCs/>
          <w:color w:val="000000" w:themeColor="text1"/>
          <w:sz w:val="32"/>
          <w:szCs w:val="32"/>
          <w:highlight w:val="none"/>
          <w14:textFill>
            <w14:solidFill>
              <w14:schemeClr w14:val="tx1"/>
            </w14:solidFill>
          </w14:textFill>
        </w:rPr>
        <w:t>办理</w:t>
      </w:r>
      <w:r>
        <w:rPr>
          <w:rFonts w:hint="eastAsia" w:ascii="仿宋_GB2312" w:hAnsi="Times New Roman" w:eastAsia="仿宋_GB2312" w:cs="Times New Roman"/>
          <w:bCs/>
          <w:color w:val="000000" w:themeColor="text1"/>
          <w:sz w:val="32"/>
          <w:szCs w:val="32"/>
          <w:highlight w:val="none"/>
          <w14:textFill>
            <w14:solidFill>
              <w14:schemeClr w14:val="tx1"/>
            </w14:solidFill>
          </w14:textFill>
        </w:rPr>
        <w:t>的需求大幅增长</w:t>
      </w:r>
      <w:r>
        <w:rPr>
          <w:rFonts w:ascii="仿宋_GB2312" w:hAnsi="Times New Roman" w:eastAsia="仿宋_GB2312" w:cs="Times New Roman"/>
          <w:bCs/>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bCs/>
          <w:color w:val="000000" w:themeColor="text1"/>
          <w:sz w:val="32"/>
          <w:szCs w:val="32"/>
          <w:highlight w:val="none"/>
          <w14:textFill>
            <w14:solidFill>
              <w14:schemeClr w14:val="tx1"/>
            </w14:solidFill>
          </w14:textFill>
        </w:rPr>
        <w:t>人力社保</w:t>
      </w:r>
      <w:r>
        <w:rPr>
          <w:rFonts w:ascii="仿宋_GB2312" w:hAnsi="Times New Roman" w:eastAsia="仿宋_GB2312" w:cs="Times New Roman"/>
          <w:bCs/>
          <w:color w:val="000000" w:themeColor="text1"/>
          <w:sz w:val="32"/>
          <w:szCs w:val="32"/>
          <w:highlight w:val="none"/>
          <w14:textFill>
            <w14:solidFill>
              <w14:schemeClr w14:val="tx1"/>
            </w14:solidFill>
          </w14:textFill>
        </w:rPr>
        <w:t>服务</w:t>
      </w:r>
      <w:r>
        <w:rPr>
          <w:rFonts w:hint="eastAsia" w:ascii="仿宋_GB2312" w:hAnsi="Times New Roman" w:eastAsia="仿宋_GB2312" w:cs="Times New Roman"/>
          <w:bCs/>
          <w:color w:val="000000" w:themeColor="text1"/>
          <w:sz w:val="32"/>
          <w:szCs w:val="32"/>
          <w:highlight w:val="none"/>
          <w14:textFill>
            <w14:solidFill>
              <w14:schemeClr w14:val="tx1"/>
            </w14:solidFill>
          </w14:textFill>
        </w:rPr>
        <w:t>面临多重考验</w:t>
      </w:r>
      <w:r>
        <w:rPr>
          <w:rFonts w:ascii="仿宋_GB2312" w:hAnsi="Times New Roman" w:eastAsia="仿宋_GB2312" w:cs="Times New Roman"/>
          <w:bCs/>
          <w:color w:val="000000" w:themeColor="text1"/>
          <w:sz w:val="32"/>
          <w:szCs w:val="32"/>
          <w:highlight w:val="none"/>
          <w14:textFill>
            <w14:solidFill>
              <w14:schemeClr w14:val="tx1"/>
            </w14:solidFill>
          </w14:textFill>
        </w:rPr>
        <w:t>。</w:t>
      </w:r>
    </w:p>
    <w:p>
      <w:pPr>
        <w:ind w:firstLine="640" w:firstLineChars="200"/>
        <w:outlineLvl w:val="1"/>
        <w:rPr>
          <w:rFonts w:ascii="Times New Roman" w:hAnsi="Times New Roman" w:eastAsia="楷体_GB2312" w:cs="Times New Roman"/>
          <w:b/>
          <w:color w:val="000000" w:themeColor="text1"/>
          <w:sz w:val="32"/>
          <w:szCs w:val="32"/>
          <w:highlight w:val="none"/>
          <w14:textFill>
            <w14:solidFill>
              <w14:schemeClr w14:val="tx1"/>
            </w14:solidFill>
          </w14:textFill>
        </w:rPr>
      </w:pPr>
      <w:bookmarkStart w:id="17" w:name="_Toc72154905"/>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（三）地区转型对人力社保的需求之强前所未有</w:t>
      </w:r>
      <w:bookmarkEnd w:id="17"/>
    </w:p>
    <w:p>
      <w:pPr>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门头沟分区规划实施以来，绿色生态发展理念贯穿全区工作始终，促进绿色就业、强化人才对绿色发展的支撑作用成为必然要求。原有劳动密集型产业相继退出，文旅体验、科创智能、医药健康“三大产业”转型升级提速，</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京西产业转型升级示范区、“一线四矿”文旅康养休闲区加快建设，</w:t>
      </w:r>
      <w:r>
        <w:rPr>
          <w:rFonts w:hint="eastAsia" w:ascii="仿宋_GB2312" w:hAnsi="仿宋_GB2312" w:eastAsia="仿宋_GB2312" w:cs="仿宋_GB2312"/>
          <w:color w:val="000000" w:themeColor="text1"/>
          <w:sz w:val="32"/>
          <w:szCs w:val="32"/>
          <w:highlight w:val="none"/>
          <w14:textFill>
            <w14:solidFill>
              <w14:schemeClr w14:val="tx1"/>
            </w14:solidFill>
          </w14:textFill>
        </w:rPr>
        <w:t>将产生大量高层次、高学历、高技能和年轻化的人力资源需求，对人才供应、社会保障能力提升都提出了更高要求，亟待破解就业结构性矛盾。国道109新线高速公路等重点工程全面推进，农民工等用工需求阶段性、爆发式增长，多个采矿单位退出后工伤待遇纠纷增多，新冠肺炎疫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引起</w:t>
      </w:r>
      <w:r>
        <w:rPr>
          <w:rFonts w:hint="eastAsia" w:ascii="仿宋_GB2312" w:hAnsi="仿宋_GB2312" w:eastAsia="仿宋_GB2312" w:cs="仿宋_GB2312"/>
          <w:color w:val="000000" w:themeColor="text1"/>
          <w:sz w:val="32"/>
          <w:szCs w:val="32"/>
          <w:highlight w:val="none"/>
          <w14:textFill>
            <w14:solidFill>
              <w14:schemeClr w14:val="tx1"/>
            </w14:solidFill>
          </w14:textFill>
        </w:rPr>
        <w:t>劳动人事争议案件高发、积压，劳动关系矛盾调处面临巨大压力，稳定的发展迫切需要和谐的劳动关系作为保障。</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18" w:name="_Toc72154906"/>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（四）人民群众对人力社保的期待之多前所未有</w:t>
      </w:r>
      <w:bookmarkEnd w:id="18"/>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十四五”时期，全区迈上高质量发展的快车道，人民群众对美好生活的向往更加强烈，迫切需要民生工作提质升档。全区经济发展持续向稳，人民群众生活品质不断提升，对就业、社保等民生服务的内容、方式、效果等提出了更多、更高的要求，人力社保服务亟待全方位升级。全区产业转型升级加快，高精尖产业、山区绿色产业、平台经济等就业岗位增多，人力资源结构、层次趋于复杂化，人民群众对就业、社保、人才服务的需求更加多样化，加强人力社保领域服务内容和模式的创新成为必然要求。人民群众法律意识、</w:t>
      </w:r>
      <w:bookmarkStart w:id="19" w:name="baidusnap2"/>
      <w:bookmarkEnd w:id="19"/>
      <w:r>
        <w:rPr>
          <w:rFonts w:hint="eastAsia" w:ascii="仿宋_GB2312" w:hAnsi="仿宋_GB2312" w:eastAsia="仿宋_GB2312" w:cs="仿宋_GB2312"/>
          <w:color w:val="000000" w:themeColor="text1"/>
          <w:sz w:val="32"/>
          <w:szCs w:val="32"/>
          <w:highlight w:val="none"/>
          <w14:textFill>
            <w14:solidFill>
              <w14:schemeClr w14:val="tx1"/>
            </w14:solidFill>
          </w14:textFill>
        </w:rPr>
        <w:t>维权意识日益增强，市民服务热线等表达诉求渠道越来越畅通，群众满意度已经成为衡量政府效能的重要指标，以人民为中心的执政理念要求人力社保服务树立更高标准。</w:t>
      </w:r>
    </w:p>
    <w:p>
      <w:pPr>
        <w:ind w:firstLine="640" w:firstLineChars="200"/>
        <w:outlineLvl w:val="0"/>
        <w:rPr>
          <w:rFonts w:ascii="Times New Roman" w:hAnsi="Times New Roman" w:eastAsia="黑体" w:cs="Times New Roman"/>
          <w:color w:val="000000" w:themeColor="text1"/>
          <w:sz w:val="32"/>
          <w:szCs w:val="32"/>
          <w:highlight w:val="none"/>
          <w14:textFill>
            <w14:solidFill>
              <w14:schemeClr w14:val="tx1"/>
            </w14:solidFill>
          </w14:textFill>
        </w:rPr>
      </w:pPr>
      <w:bookmarkStart w:id="20" w:name="_Toc72154907"/>
      <w:bookmarkStart w:id="21" w:name="_Toc49460158"/>
      <w:r>
        <w:rPr>
          <w:rFonts w:ascii="Times New Roman" w:hAnsi="Times New Roman" w:eastAsia="黑体" w:cs="Times New Roman"/>
          <w:color w:val="000000" w:themeColor="text1"/>
          <w:sz w:val="32"/>
          <w:szCs w:val="32"/>
          <w:highlight w:val="none"/>
          <w14:textFill>
            <w14:solidFill>
              <w14:schemeClr w14:val="tx1"/>
            </w14:solidFill>
          </w14:textFill>
        </w:rPr>
        <w:t>三、指导思想、原则和目标</w:t>
      </w:r>
      <w:bookmarkEnd w:id="20"/>
      <w:bookmarkEnd w:id="21"/>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22" w:name="_Toc49460159"/>
      <w:bookmarkStart w:id="23" w:name="_Toc72154908"/>
      <w:r>
        <w:rPr>
          <w:rFonts w:ascii="Times New Roman" w:hAnsi="Times New Roman" w:eastAsia="楷体_GB2312" w:cs="Times New Roman"/>
          <w:bCs/>
          <w:color w:val="000000" w:themeColor="text1"/>
          <w:sz w:val="32"/>
          <w:szCs w:val="32"/>
          <w:highlight w:val="none"/>
          <w14:textFill>
            <w14:solidFill>
              <w14:schemeClr w14:val="tx1"/>
            </w14:solidFill>
          </w14:textFill>
        </w:rPr>
        <w:t>（一）指导思想</w:t>
      </w:r>
      <w:bookmarkEnd w:id="22"/>
      <w:bookmarkEnd w:id="23"/>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坚持以习近平新时代中国特色社会主义思想为指导，全面贯彻党的十九大和十九届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历次</w:t>
      </w:r>
      <w:r>
        <w:rPr>
          <w:rFonts w:hint="eastAsia" w:ascii="仿宋_GB2312" w:hAnsi="仿宋_GB2312" w:eastAsia="仿宋_GB2312" w:cs="仿宋_GB2312"/>
          <w:color w:val="000000" w:themeColor="text1"/>
          <w:sz w:val="32"/>
          <w:szCs w:val="32"/>
          <w:highlight w:val="none"/>
          <w14:textFill>
            <w14:solidFill>
              <w14:schemeClr w14:val="tx1"/>
            </w14:solidFill>
          </w14:textFill>
        </w:rPr>
        <w:t>全会精神</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，深入贯彻</w:t>
      </w:r>
      <w:r>
        <w:rPr>
          <w:rFonts w:hint="eastAsia" w:ascii="仿宋_GB2312" w:hAnsi="仿宋_GB2312" w:eastAsia="仿宋_GB2312" w:cs="仿宋_GB2312"/>
          <w:color w:val="000000" w:themeColor="text1"/>
          <w:sz w:val="32"/>
          <w:szCs w:val="32"/>
          <w:highlight w:val="none"/>
          <w14:textFill>
            <w14:solidFill>
              <w14:schemeClr w14:val="tx1"/>
            </w14:solidFill>
          </w14:textFill>
        </w:rPr>
        <w:t>习近平总书记对北京重要讲话精神，认真落实市委市政府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区委区政府的决策部署，</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坚持生态立区、文化兴区、科技强区，</w:t>
      </w:r>
      <w:r>
        <w:rPr>
          <w:rFonts w:hint="eastAsia" w:ascii="仿宋_GB2312" w:hAnsi="仿宋_GB2312" w:eastAsia="仿宋_GB2312" w:cs="仿宋_GB2312"/>
          <w:color w:val="000000" w:themeColor="text1"/>
          <w:sz w:val="32"/>
          <w:szCs w:val="32"/>
          <w:highlight w:val="none"/>
          <w14:textFill>
            <w14:solidFill>
              <w14:schemeClr w14:val="tx1"/>
            </w14:solidFill>
          </w14:textFill>
        </w:rPr>
        <w:t>紧紧围绕“绿色发展、生态富民、弘扬文化、文明首善、团结稳定”的区域发展总原则，以“红色门头沟”党建为引领，紧扣“七有”“五性”，践行以人民为中心的发展思想，以增进民生福祉为出发点和落脚点，始终把握“民生为本、就业优先”这一工作主线，大力推进充分和高质量就业，深化落实社会保障制度改革，不断健全人才服务体制机制，努力构建和谐劳动关系，积极提供更均衡更优质的公共服务，开创“就业富民、社保惠民、人才兴民、和谐安民、服务便民”的人力社保工作新局面，</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努力让老区人民过上好日子</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24" w:name="_Toc72154909"/>
      <w:bookmarkStart w:id="25" w:name="_Toc49460160"/>
      <w:r>
        <w:rPr>
          <w:rFonts w:ascii="Times New Roman" w:hAnsi="Times New Roman" w:eastAsia="楷体_GB2312" w:cs="Times New Roman"/>
          <w:bCs/>
          <w:color w:val="000000" w:themeColor="text1"/>
          <w:sz w:val="32"/>
          <w:szCs w:val="32"/>
          <w:highlight w:val="none"/>
          <w14:textFill>
            <w14:solidFill>
              <w14:schemeClr w14:val="tx1"/>
            </w14:solidFill>
          </w14:textFill>
        </w:rPr>
        <w:t>（二）基本原则</w:t>
      </w:r>
      <w:bookmarkEnd w:id="24"/>
      <w:bookmarkEnd w:id="25"/>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26" w:name="_Toc72154910"/>
      <w:r>
        <w:rPr>
          <w:rFonts w:hint="eastAsia" w:ascii="仿宋_GB2312" w:hAnsi="仿宋_GB2312" w:eastAsia="仿宋_GB2312" w:cs="仿宋_GB2312"/>
          <w:b/>
          <w:bCs/>
          <w:color w:val="000000" w:themeColor="text1"/>
          <w:sz w:val="32"/>
          <w:szCs w:val="32"/>
          <w:highlight w:val="none"/>
          <w14:textFill>
            <w14:solidFill>
              <w14:schemeClr w14:val="tx1"/>
            </w14:solidFill>
          </w14:textFill>
        </w:rPr>
        <w:t>1.围绕中心，服务大局</w:t>
      </w:r>
      <w:bookmarkEnd w:id="26"/>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坚持自觉服从和服务于区委区政府中心工作和改革发展稳定大局，增强政治意识、大局意识、核心意识、看齐意识，紧紧围绕“五个之城”建设，为打造“绿水青山门头沟”城市品牌提供强有力的人力社保支撑。</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27" w:name="_Toc72154911"/>
      <w:r>
        <w:rPr>
          <w:rFonts w:hint="eastAsia" w:ascii="仿宋_GB2312" w:hAnsi="仿宋_GB2312" w:eastAsia="仿宋_GB2312" w:cs="仿宋_GB2312"/>
          <w:b/>
          <w:bCs/>
          <w:color w:val="000000" w:themeColor="text1"/>
          <w:sz w:val="32"/>
          <w:szCs w:val="32"/>
          <w:highlight w:val="none"/>
          <w14:textFill>
            <w14:solidFill>
              <w14:schemeClr w14:val="tx1"/>
            </w14:solidFill>
          </w14:textFill>
        </w:rPr>
        <w:t>2.以人为本，保障民生</w:t>
      </w:r>
      <w:bookmarkEnd w:id="27"/>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坚持</w:t>
      </w:r>
      <w:r>
        <w:rPr>
          <w:rFonts w:hint="eastAsia" w:ascii="仿宋_GB2312" w:hAnsi="仿宋_GB2312" w:eastAsia="仿宋_GB2312" w:cs="仿宋_GB2312"/>
          <w:color w:val="000000" w:themeColor="text1"/>
          <w:sz w:val="32"/>
          <w:szCs w:val="32"/>
          <w:highlight w:val="none"/>
          <w14:textFill>
            <w14:solidFill>
              <w14:schemeClr w14:val="tx1"/>
            </w14:solidFill>
          </w14:textFill>
        </w:rPr>
        <w:t>把保障和改善民生作为工作的出发点和落脚点，着力解决好人民群众最关心、最直接、最现实的就业、社会保障和收入分配等利益问题，使全体城乡劳动者平等就业，劳有所得，老有所养，让发展成果惠及全体人民。</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28" w:name="_Toc72154912"/>
      <w:r>
        <w:rPr>
          <w:rFonts w:hint="eastAsia" w:ascii="仿宋_GB2312" w:hAnsi="仿宋_GB2312" w:eastAsia="仿宋_GB2312" w:cs="仿宋_GB2312"/>
          <w:b/>
          <w:bCs/>
          <w:color w:val="000000" w:themeColor="text1"/>
          <w:sz w:val="32"/>
          <w:szCs w:val="32"/>
          <w:highlight w:val="none"/>
          <w14:textFill>
            <w14:solidFill>
              <w14:schemeClr w14:val="tx1"/>
            </w14:solidFill>
          </w14:textFill>
        </w:rPr>
        <w:t>3.人才引领，创新驱动</w:t>
      </w:r>
      <w:bookmarkEnd w:id="28"/>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围绕经济高质量发展要求，破除束缚、妨碍人才发挥最大能动性的体制机制障碍。加快建设高素质的专业技术人才队伍、高水平的技能人才队伍和高层次的新模式新业态人才队伍，释放创新活力。</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29" w:name="_Toc72154913"/>
      <w:r>
        <w:rPr>
          <w:rFonts w:hint="eastAsia" w:ascii="仿宋_GB2312" w:hAnsi="仿宋_GB2312" w:eastAsia="仿宋_GB2312" w:cs="仿宋_GB2312"/>
          <w:b/>
          <w:bCs/>
          <w:color w:val="000000" w:themeColor="text1"/>
          <w:sz w:val="32"/>
          <w:szCs w:val="32"/>
          <w:highlight w:val="none"/>
          <w14:textFill>
            <w14:solidFill>
              <w14:schemeClr w14:val="tx1"/>
            </w14:solidFill>
          </w14:textFill>
        </w:rPr>
        <w:t>4.突出重点，统筹协调</w:t>
      </w:r>
      <w:bookmarkEnd w:id="29"/>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针对人力社保工作的重点、难点和短板，统筹考虑城镇与农村、平原与山区的协调发展，统筹把握好法规与政策的衔接配套、管理与服务的共同推进，以公平开放的人力社保体系助力全区经济社会稳定、协调、可持续发展。</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30" w:name="_Toc72154914"/>
      <w:r>
        <w:rPr>
          <w:rFonts w:hint="eastAsia" w:ascii="仿宋_GB2312" w:hAnsi="仿宋_GB2312" w:eastAsia="仿宋_GB2312" w:cs="仿宋_GB2312"/>
          <w:b/>
          <w:bCs/>
          <w:color w:val="000000" w:themeColor="text1"/>
          <w:sz w:val="32"/>
          <w:szCs w:val="32"/>
          <w:highlight w:val="none"/>
          <w14:textFill>
            <w14:solidFill>
              <w14:schemeClr w14:val="tx1"/>
            </w14:solidFill>
          </w14:textFill>
        </w:rPr>
        <w:t>5.增强能力，优化服务</w:t>
      </w:r>
      <w:bookmarkEnd w:id="30"/>
    </w:p>
    <w:p>
      <w:pPr>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以增强人力社保管理服务能力为着力点，加强基础设施建设，加快信息化进程，提高干部队伍整体素质，持续推进作风建设，健全覆盖城乡、普惠可及的人力社保公共服务体系，为广大群众提供优质高效的服务。</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31" w:name="_Toc49460161"/>
      <w:bookmarkStart w:id="32" w:name="_Toc72154915"/>
      <w:r>
        <w:rPr>
          <w:rFonts w:ascii="Times New Roman" w:hAnsi="Times New Roman" w:eastAsia="楷体_GB2312" w:cs="Times New Roman"/>
          <w:bCs/>
          <w:color w:val="000000" w:themeColor="text1"/>
          <w:sz w:val="32"/>
          <w:szCs w:val="32"/>
          <w:highlight w:val="none"/>
          <w14:textFill>
            <w14:solidFill>
              <w14:schemeClr w14:val="tx1"/>
            </w14:solidFill>
          </w14:textFill>
        </w:rPr>
        <w:t>（三）发展目标</w:t>
      </w:r>
      <w:bookmarkEnd w:id="31"/>
      <w:bookmarkEnd w:id="32"/>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到2025年，全区人力社保事业发展的总体目标是：城乡就业更加充分，社保体系更加完善，人才作用更加明显，劳动关系更加和谐，公共服务更加优化，为门头沟区经济社会高质量发展保驾护航。</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33" w:name="_Toc72154916"/>
      <w:r>
        <w:rPr>
          <w:rFonts w:hint="eastAsia" w:ascii="仿宋_GB2312" w:hAnsi="仿宋_GB2312" w:eastAsia="仿宋_GB2312" w:cs="仿宋_GB2312"/>
          <w:b/>
          <w:bCs/>
          <w:color w:val="000000" w:themeColor="text1"/>
          <w:sz w:val="32"/>
          <w:szCs w:val="32"/>
          <w:highlight w:val="none"/>
          <w14:textFill>
            <w14:solidFill>
              <w14:schemeClr w14:val="tx1"/>
            </w14:solidFill>
          </w14:textFill>
        </w:rPr>
        <w:t>1.城乡就业更加充分</w:t>
      </w:r>
      <w:bookmarkEnd w:id="33"/>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坚持实施积极的就业政策，稳步推进城乡统筹就业，促进以创业带动就业，统筹推进登记失业人员、高校毕业生、农村劳动力、就业困难人员等重点群体就业，劳动者职业素质和就业创业能力进一步增强，就业创业规模稳步扩大，就业结构进一步优化，就业质量明显提升，“零就业家庭”动态清零，就业局势保持稳定。</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34" w:name="_Toc72154917"/>
      <w:r>
        <w:rPr>
          <w:rFonts w:hint="eastAsia" w:ascii="仿宋_GB2312" w:hAnsi="仿宋_GB2312" w:eastAsia="仿宋_GB2312" w:cs="仿宋_GB2312"/>
          <w:b/>
          <w:bCs/>
          <w:color w:val="000000" w:themeColor="text1"/>
          <w:sz w:val="32"/>
          <w:szCs w:val="32"/>
          <w:highlight w:val="none"/>
          <w14:textFill>
            <w14:solidFill>
              <w14:schemeClr w14:val="tx1"/>
            </w14:solidFill>
          </w14:textFill>
        </w:rPr>
        <w:t>2.社保体系更加完善</w:t>
      </w:r>
      <w:bookmarkEnd w:id="34"/>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按照北京市统一部署，推进社保改革平稳落地，多支柱养老保险体系进一步健全，职业病工伤保险政策有效落实。社保经办流程进一步优化，基金监管更加安全有效，覆盖全民、统筹城乡、公平统一、可持续的多层次社会保障体系更加健全。</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35" w:name="_Toc72154918"/>
      <w:r>
        <w:rPr>
          <w:rFonts w:hint="eastAsia" w:ascii="仿宋_GB2312" w:hAnsi="仿宋_GB2312" w:eastAsia="仿宋_GB2312" w:cs="仿宋_GB2312"/>
          <w:b/>
          <w:bCs/>
          <w:color w:val="000000" w:themeColor="text1"/>
          <w:sz w:val="32"/>
          <w:szCs w:val="32"/>
          <w:highlight w:val="none"/>
          <w14:textFill>
            <w14:solidFill>
              <w14:schemeClr w14:val="tx1"/>
            </w14:solidFill>
          </w14:textFill>
        </w:rPr>
        <w:t>3.人才作用更加明显</w:t>
      </w:r>
      <w:bookmarkEnd w:id="35"/>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专业技术人才和高技能人才队伍总量持续提高，队伍结构进一步优化，适应</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“两区”建设和“五新”政策要求的新型人才队伍不断集聚，</w:t>
      </w:r>
      <w:r>
        <w:rPr>
          <w:rFonts w:hint="eastAsia" w:ascii="仿宋_GB2312" w:hAnsi="仿宋_GB2312" w:eastAsia="仿宋_GB2312" w:cs="仿宋_GB2312"/>
          <w:color w:val="000000" w:themeColor="text1"/>
          <w:sz w:val="32"/>
          <w:szCs w:val="32"/>
          <w:highlight w:val="none"/>
          <w14:textFill>
            <w14:solidFill>
              <w14:schemeClr w14:val="tx1"/>
            </w14:solidFill>
          </w14:textFill>
        </w:rPr>
        <w:t>创新创业活力竞相迸发，事业单位人事制度更加科学规范，为全区高质量发展提供智力支持和人才保障。</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36" w:name="_Toc72154919"/>
      <w:r>
        <w:rPr>
          <w:rFonts w:hint="eastAsia" w:ascii="仿宋_GB2312" w:hAnsi="仿宋_GB2312" w:eastAsia="仿宋_GB2312" w:cs="仿宋_GB2312"/>
          <w:b/>
          <w:bCs/>
          <w:color w:val="000000" w:themeColor="text1"/>
          <w:sz w:val="32"/>
          <w:szCs w:val="32"/>
          <w:highlight w:val="none"/>
          <w14:textFill>
            <w14:solidFill>
              <w14:schemeClr w14:val="tx1"/>
            </w14:solidFill>
          </w14:textFill>
        </w:rPr>
        <w:t>4.劳动关系更加和谐</w:t>
      </w:r>
      <w:bookmarkEnd w:id="36"/>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劳动关系法治化建设深入推进，劳动关系协调机制和矛盾调处机制更加健全，劳动人事争议处理效能和劳动保障监察执法能力进一步提升，劳动关系总体和谐稳定。</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37" w:name="_Toc72154920"/>
      <w:r>
        <w:rPr>
          <w:rFonts w:hint="eastAsia" w:ascii="仿宋_GB2312" w:hAnsi="仿宋_GB2312" w:eastAsia="仿宋_GB2312" w:cs="仿宋_GB2312"/>
          <w:b/>
          <w:bCs/>
          <w:color w:val="000000" w:themeColor="text1"/>
          <w:sz w:val="32"/>
          <w:szCs w:val="32"/>
          <w:highlight w:val="none"/>
          <w14:textFill>
            <w14:solidFill>
              <w14:schemeClr w14:val="tx1"/>
            </w14:solidFill>
          </w14:textFill>
        </w:rPr>
        <w:t>5.公共服务更加优化</w:t>
      </w:r>
      <w:bookmarkEnd w:id="37"/>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人力社保公共服务机构更加健全、设施设备更加完善、信息网络互联互通、服务流程科学规范、服务队伍素质优良、服务水平显著提高，建成标准统一、内外协同、方便快捷的标准化、信息化、一体化公共服务体系，为广大人民群众提供规范、便捷、高效的公共服务。</w:t>
      </w:r>
    </w:p>
    <w:p>
      <w:pPr>
        <w:pStyle w:val="6"/>
        <w:ind w:firstLine="0" w:firstLineChars="0"/>
        <w:jc w:val="center"/>
        <w:rPr>
          <w:rFonts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kern w:val="0"/>
          <w:sz w:val="28"/>
          <w:szCs w:val="28"/>
          <w:highlight w:val="none"/>
          <w14:textFill>
            <w14:solidFill>
              <w14:schemeClr w14:val="tx1"/>
            </w14:solidFill>
          </w14:textFill>
        </w:rPr>
        <w:t>“十四五”时期人力资源和社会保障主要发展指标</w:t>
      </w:r>
    </w:p>
    <w:tbl>
      <w:tblPr>
        <w:tblStyle w:val="28"/>
        <w:tblW w:w="7506"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4"/>
        <w:gridCol w:w="3701"/>
        <w:gridCol w:w="696"/>
        <w:gridCol w:w="1480"/>
        <w:gridCol w:w="92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7" w:hRule="atLeast"/>
          <w:jc w:val="center"/>
        </w:trPr>
        <w:tc>
          <w:tcPr>
            <w:tcW w:w="4405" w:type="dxa"/>
            <w:gridSpan w:val="2"/>
            <w:shd w:val="clear" w:color="auto" w:fill="C6D9F0" w:themeFill="text2" w:themeFillTint="33"/>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指标名称</w:t>
            </w:r>
          </w:p>
        </w:tc>
        <w:tc>
          <w:tcPr>
            <w:tcW w:w="696" w:type="dxa"/>
            <w:shd w:val="clear" w:color="auto" w:fill="C6D9F0" w:themeFill="text2" w:themeFillTint="33"/>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单位</w:t>
            </w:r>
          </w:p>
        </w:tc>
        <w:tc>
          <w:tcPr>
            <w:tcW w:w="1480" w:type="dxa"/>
            <w:shd w:val="clear" w:color="auto" w:fill="C6D9F0" w:themeFill="text2" w:themeFillTint="33"/>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2025年目标</w:t>
            </w:r>
          </w:p>
        </w:tc>
        <w:tc>
          <w:tcPr>
            <w:tcW w:w="925" w:type="dxa"/>
            <w:shd w:val="clear" w:color="auto" w:fill="C6D9F0" w:themeFill="text2" w:themeFillTint="33"/>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指标</w:t>
            </w:r>
          </w:p>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属性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restart"/>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劳动</w:t>
            </w:r>
          </w:p>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就业</w:t>
            </w:r>
          </w:p>
        </w:tc>
        <w:tc>
          <w:tcPr>
            <w:tcW w:w="3701" w:type="dxa"/>
            <w:vAlign w:val="center"/>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1.城镇调查失业率</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参照市级目标调整</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vAlign w:val="center"/>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2</w:t>
            </w:r>
            <w:r>
              <w:rPr>
                <w:rFonts w:ascii="宋体" w:hAnsi="宋体" w:eastAsia="宋体" w:cs="宋体"/>
                <w:color w:val="000000" w:themeColor="text1"/>
                <w:kern w:val="0"/>
                <w:szCs w:val="21"/>
                <w:highlight w:val="none"/>
                <w14:textFill>
                  <w14:solidFill>
                    <w14:schemeClr w14:val="tx1"/>
                  </w14:solidFill>
                </w14:textFill>
              </w:rPr>
              <w:t>.</w:t>
            </w:r>
            <w:r>
              <w:rPr>
                <w:rFonts w:hint="eastAsia" w:ascii="宋体" w:hAnsi="宋体" w:eastAsia="宋体" w:cs="宋体"/>
                <w:color w:val="000000" w:themeColor="text1"/>
                <w:kern w:val="0"/>
                <w:szCs w:val="21"/>
                <w:highlight w:val="none"/>
                <w14:textFill>
                  <w14:solidFill>
                    <w14:schemeClr w14:val="tx1"/>
                  </w14:solidFill>
                </w14:textFill>
              </w:rPr>
              <w:t>城镇登记失业率</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参照市级目标调整</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9"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vAlign w:val="center"/>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ascii="宋体" w:hAnsi="宋体" w:eastAsia="宋体" w:cs="宋体"/>
                <w:color w:val="000000" w:themeColor="text1"/>
                <w:kern w:val="0"/>
                <w:szCs w:val="21"/>
                <w:highlight w:val="none"/>
                <w14:textFill>
                  <w14:solidFill>
                    <w14:schemeClr w14:val="tx1"/>
                  </w14:solidFill>
                </w14:textFill>
              </w:rPr>
              <w:t>3</w:t>
            </w:r>
            <w:r>
              <w:rPr>
                <w:rFonts w:hint="eastAsia" w:ascii="宋体" w:hAnsi="宋体" w:eastAsia="宋体" w:cs="宋体"/>
                <w:color w:val="000000" w:themeColor="text1"/>
                <w:kern w:val="0"/>
                <w:szCs w:val="21"/>
                <w:highlight w:val="none"/>
                <w14:textFill>
                  <w14:solidFill>
                    <w14:schemeClr w14:val="tx1"/>
                  </w14:solidFill>
                </w14:textFill>
              </w:rPr>
              <w:t>.城镇累计新增就业人数</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人</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20000</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vAlign w:val="center"/>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ascii="宋体" w:hAnsi="宋体" w:eastAsia="宋体" w:cs="宋体"/>
                <w:color w:val="000000" w:themeColor="text1"/>
                <w:szCs w:val="21"/>
                <w:highlight w:val="none"/>
                <w14:textFill>
                  <w14:solidFill>
                    <w14:schemeClr w14:val="tx1"/>
                  </w14:solidFill>
                </w14:textFill>
              </w:rPr>
              <w:t>4</w:t>
            </w:r>
            <w:r>
              <w:rPr>
                <w:rFonts w:hint="eastAsia" w:ascii="宋体" w:hAnsi="宋体" w:eastAsia="宋体" w:cs="宋体"/>
                <w:color w:val="000000" w:themeColor="text1"/>
                <w:szCs w:val="21"/>
                <w:highlight w:val="none"/>
                <w14:textFill>
                  <w14:solidFill>
                    <w14:schemeClr w14:val="tx1"/>
                  </w14:solidFill>
                </w14:textFill>
              </w:rPr>
              <w:t>.城镇登记失业人员就业率</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60及以上</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vAlign w:val="center"/>
          </w:tcPr>
          <w:p>
            <w:pPr>
              <w:spacing w:line="280" w:lineRule="exact"/>
              <w:rPr>
                <w:rFonts w:ascii="宋体" w:hAnsi="宋体" w:eastAsia="宋体" w:cs="宋体"/>
                <w:color w:val="000000" w:themeColor="text1"/>
                <w:szCs w:val="21"/>
                <w:highlight w:val="none"/>
                <w14:textFill>
                  <w14:solidFill>
                    <w14:schemeClr w14:val="tx1"/>
                  </w14:solidFill>
                </w14:textFill>
              </w:rPr>
            </w:pPr>
            <w:r>
              <w:rPr>
                <w:rFonts w:ascii="宋体" w:hAnsi="宋体" w:eastAsia="宋体" w:cs="宋体"/>
                <w:color w:val="000000" w:themeColor="text1"/>
                <w:kern w:val="0"/>
                <w:szCs w:val="21"/>
                <w:highlight w:val="none"/>
                <w14:textFill>
                  <w14:solidFill>
                    <w14:schemeClr w14:val="tx1"/>
                  </w14:solidFill>
                </w14:textFill>
              </w:rPr>
              <w:t>5</w:t>
            </w:r>
            <w:r>
              <w:rPr>
                <w:rFonts w:hint="eastAsia" w:ascii="宋体" w:hAnsi="宋体" w:eastAsia="宋体" w:cs="宋体"/>
                <w:color w:val="000000" w:themeColor="text1"/>
                <w:kern w:val="0"/>
                <w:szCs w:val="21"/>
                <w:highlight w:val="none"/>
                <w14:textFill>
                  <w14:solidFill>
                    <w14:schemeClr w14:val="tx1"/>
                  </w14:solidFill>
                </w14:textFill>
              </w:rPr>
              <w:t>.开展职业技能培训人数</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人次</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【15000】</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restart"/>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社会</w:t>
            </w:r>
          </w:p>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保障</w:t>
            </w: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6.职工基本养老保险参保人数</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万人</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26.5</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约束性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7.失业保险参保人数</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万人</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18.4</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约束性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8.工伤保险参保人数</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万人</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15</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约束性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vAlign w:val="center"/>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ascii="宋体" w:hAnsi="宋体" w:eastAsia="宋体" w:cs="宋体"/>
                <w:color w:val="000000" w:themeColor="text1"/>
                <w:kern w:val="0"/>
                <w:szCs w:val="21"/>
                <w:highlight w:val="none"/>
                <w14:textFill>
                  <w14:solidFill>
                    <w14:schemeClr w14:val="tx1"/>
                  </w14:solidFill>
                </w14:textFill>
              </w:rPr>
              <w:t>9</w:t>
            </w:r>
            <w:r>
              <w:rPr>
                <w:rFonts w:hint="eastAsia" w:ascii="宋体" w:hAnsi="宋体" w:eastAsia="宋体" w:cs="宋体"/>
                <w:color w:val="000000" w:themeColor="text1"/>
                <w:kern w:val="0"/>
                <w:szCs w:val="21"/>
                <w:highlight w:val="none"/>
                <w14:textFill>
                  <w14:solidFill>
                    <w14:schemeClr w14:val="tx1"/>
                  </w14:solidFill>
                </w14:textFill>
              </w:rPr>
              <w:t>.社会保障待遇水平</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参考经济社会发展水平调整</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restart"/>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人才</w:t>
            </w:r>
          </w:p>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队伍</w:t>
            </w: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ascii="宋体" w:hAnsi="宋体" w:eastAsia="宋体" w:cs="宋体"/>
                <w:color w:val="000000" w:themeColor="text1"/>
                <w:kern w:val="0"/>
                <w:szCs w:val="21"/>
                <w:highlight w:val="none"/>
                <w14:textFill>
                  <w14:solidFill>
                    <w14:schemeClr w14:val="tx1"/>
                  </w14:solidFill>
                </w14:textFill>
              </w:rPr>
              <w:t>10</w:t>
            </w:r>
            <w:r>
              <w:rPr>
                <w:rFonts w:hint="eastAsia" w:ascii="宋体" w:hAnsi="宋体" w:eastAsia="宋体" w:cs="宋体"/>
                <w:color w:val="000000" w:themeColor="text1"/>
                <w:kern w:val="0"/>
                <w:szCs w:val="21"/>
                <w:highlight w:val="none"/>
                <w14:textFill>
                  <w14:solidFill>
                    <w14:schemeClr w14:val="tx1"/>
                  </w14:solidFill>
                </w14:textFill>
              </w:rPr>
              <w:t>.专业技术人才总量</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人</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6500</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r>
              <w:rPr>
                <w:rFonts w:ascii="宋体" w:hAnsi="宋体" w:eastAsia="宋体" w:cs="宋体"/>
                <w:color w:val="000000" w:themeColor="text1"/>
                <w:kern w:val="0"/>
                <w:szCs w:val="21"/>
                <w:highlight w:val="none"/>
                <w14:textFill>
                  <w14:solidFill>
                    <w14:schemeClr w14:val="tx1"/>
                  </w14:solidFill>
                </w14:textFill>
              </w:rPr>
              <w:t>1</w:t>
            </w:r>
            <w:r>
              <w:rPr>
                <w:rFonts w:hint="eastAsia" w:ascii="宋体" w:hAnsi="宋体" w:eastAsia="宋体" w:cs="宋体"/>
                <w:color w:val="000000" w:themeColor="text1"/>
                <w:kern w:val="0"/>
                <w:szCs w:val="21"/>
                <w:highlight w:val="none"/>
                <w14:textFill>
                  <w14:solidFill>
                    <w14:schemeClr w14:val="tx1"/>
                  </w14:solidFill>
                </w14:textFill>
              </w:rPr>
              <w:t>.高技能人才总量</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人</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3000</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restart"/>
            <w:vAlign w:val="center"/>
          </w:tcPr>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劳动</w:t>
            </w:r>
          </w:p>
          <w:p>
            <w:pPr>
              <w:pStyle w:val="6"/>
              <w:spacing w:line="280" w:lineRule="exact"/>
              <w:ind w:firstLine="0" w:firstLineChars="0"/>
              <w:jc w:val="center"/>
              <w:rPr>
                <w:rFonts w:ascii="宋体" w:hAnsi="宋体" w:eastAsia="宋体" w:cs="宋体"/>
                <w:b/>
                <w:color w:val="000000" w:themeColor="text1"/>
                <w:kern w:val="0"/>
                <w:szCs w:val="21"/>
                <w:highlight w:val="none"/>
                <w14:textFill>
                  <w14:solidFill>
                    <w14:schemeClr w14:val="tx1"/>
                  </w14:solidFill>
                </w14:textFill>
              </w:rPr>
            </w:pPr>
            <w:r>
              <w:rPr>
                <w:rFonts w:hint="eastAsia" w:ascii="宋体" w:hAnsi="宋体" w:eastAsia="宋体" w:cs="宋体"/>
                <w:b/>
                <w:color w:val="000000" w:themeColor="text1"/>
                <w:kern w:val="0"/>
                <w:szCs w:val="21"/>
                <w:highlight w:val="none"/>
                <w14:textFill>
                  <w14:solidFill>
                    <w14:schemeClr w14:val="tx1"/>
                  </w14:solidFill>
                </w14:textFill>
              </w:rPr>
              <w:t>关系</w:t>
            </w: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r>
              <w:rPr>
                <w:rFonts w:ascii="宋体" w:hAnsi="宋体" w:eastAsia="宋体" w:cs="宋体"/>
                <w:color w:val="000000" w:themeColor="text1"/>
                <w:kern w:val="0"/>
                <w:szCs w:val="21"/>
                <w:highlight w:val="none"/>
                <w14:textFill>
                  <w14:solidFill>
                    <w14:schemeClr w14:val="tx1"/>
                  </w14:solidFill>
                </w14:textFill>
              </w:rPr>
              <w:t>2</w:t>
            </w:r>
            <w:r>
              <w:rPr>
                <w:rFonts w:hint="eastAsia" w:ascii="宋体" w:hAnsi="宋体" w:eastAsia="宋体" w:cs="宋体"/>
                <w:color w:val="000000" w:themeColor="text1"/>
                <w:kern w:val="0"/>
                <w:szCs w:val="21"/>
                <w:highlight w:val="none"/>
                <w14:textFill>
                  <w14:solidFill>
                    <w14:schemeClr w14:val="tx1"/>
                  </w14:solidFill>
                </w14:textFill>
              </w:rPr>
              <w:t>.劳动人事争议案件仲裁结案率</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90</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r>
              <w:rPr>
                <w:rFonts w:ascii="宋体" w:hAnsi="宋体" w:eastAsia="宋体" w:cs="宋体"/>
                <w:color w:val="000000" w:themeColor="text1"/>
                <w:kern w:val="0"/>
                <w:szCs w:val="21"/>
                <w:highlight w:val="none"/>
                <w14:textFill>
                  <w14:solidFill>
                    <w14:schemeClr w14:val="tx1"/>
                  </w14:solidFill>
                </w14:textFill>
              </w:rPr>
              <w:t>3</w:t>
            </w:r>
            <w:r>
              <w:rPr>
                <w:rFonts w:hint="eastAsia" w:ascii="宋体" w:hAnsi="宋体" w:eastAsia="宋体" w:cs="宋体"/>
                <w:color w:val="000000" w:themeColor="text1"/>
                <w:kern w:val="0"/>
                <w:szCs w:val="21"/>
                <w:highlight w:val="none"/>
                <w14:textFill>
                  <w14:solidFill>
                    <w14:schemeClr w14:val="tx1"/>
                  </w14:solidFill>
                </w14:textFill>
              </w:rPr>
              <w:t>.劳动人事争议调解成功率</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60</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r>
              <w:rPr>
                <w:rFonts w:ascii="宋体" w:hAnsi="宋体" w:eastAsia="宋体" w:cs="宋体"/>
                <w:color w:val="000000" w:themeColor="text1"/>
                <w:kern w:val="0"/>
                <w:szCs w:val="21"/>
                <w:highlight w:val="none"/>
                <w14:textFill>
                  <w14:solidFill>
                    <w14:schemeClr w14:val="tx1"/>
                  </w14:solidFill>
                </w14:textFill>
              </w:rPr>
              <w:t>4</w:t>
            </w:r>
            <w:r>
              <w:rPr>
                <w:rFonts w:hint="eastAsia" w:ascii="宋体" w:hAnsi="宋体" w:eastAsia="宋体" w:cs="宋体"/>
                <w:color w:val="000000" w:themeColor="text1"/>
                <w:kern w:val="0"/>
                <w:szCs w:val="21"/>
                <w:highlight w:val="none"/>
                <w14:textFill>
                  <w14:solidFill>
                    <w14:schemeClr w14:val="tx1"/>
                  </w14:solidFill>
                </w14:textFill>
              </w:rPr>
              <w:t>.劳动人事争议仲裁终结率</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65</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4" w:hRule="atLeast"/>
          <w:jc w:val="center"/>
        </w:trPr>
        <w:tc>
          <w:tcPr>
            <w:tcW w:w="704" w:type="dxa"/>
            <w:vMerge w:val="continue"/>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p>
        </w:tc>
        <w:tc>
          <w:tcPr>
            <w:tcW w:w="3701" w:type="dxa"/>
          </w:tcPr>
          <w:p>
            <w:pPr>
              <w:spacing w:line="280" w:lineRule="exact"/>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r>
              <w:rPr>
                <w:rFonts w:ascii="宋体" w:hAnsi="宋体" w:eastAsia="宋体" w:cs="宋体"/>
                <w:color w:val="000000" w:themeColor="text1"/>
                <w:kern w:val="0"/>
                <w:szCs w:val="21"/>
                <w:highlight w:val="none"/>
                <w14:textFill>
                  <w14:solidFill>
                    <w14:schemeClr w14:val="tx1"/>
                  </w14:solidFill>
                </w14:textFill>
              </w:rPr>
              <w:t>5</w:t>
            </w:r>
            <w:r>
              <w:rPr>
                <w:rFonts w:hint="eastAsia" w:ascii="宋体" w:hAnsi="宋体" w:eastAsia="宋体" w:cs="宋体"/>
                <w:color w:val="000000" w:themeColor="text1"/>
                <w:kern w:val="0"/>
                <w:szCs w:val="21"/>
                <w:highlight w:val="none"/>
                <w14:textFill>
                  <w14:solidFill>
                    <w14:schemeClr w14:val="tx1"/>
                  </w14:solidFill>
                </w14:textFill>
              </w:rPr>
              <w:t>.劳动保障监察举报投诉案件结案率</w:t>
            </w:r>
          </w:p>
        </w:tc>
        <w:tc>
          <w:tcPr>
            <w:tcW w:w="696"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w:t>
            </w:r>
          </w:p>
        </w:tc>
        <w:tc>
          <w:tcPr>
            <w:tcW w:w="1480"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96</w:t>
            </w:r>
          </w:p>
        </w:tc>
        <w:tc>
          <w:tcPr>
            <w:tcW w:w="925" w:type="dxa"/>
            <w:vAlign w:val="center"/>
          </w:tcPr>
          <w:p>
            <w:pPr>
              <w:pStyle w:val="6"/>
              <w:spacing w:line="280" w:lineRule="exact"/>
              <w:ind w:firstLine="0" w:firstLineChars="0"/>
              <w:jc w:val="center"/>
              <w:rPr>
                <w:rFonts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预期性</w:t>
            </w:r>
          </w:p>
        </w:tc>
      </w:tr>
    </w:tbl>
    <w:p>
      <w:pPr>
        <w:spacing w:after="156" w:afterLines="50" w:line="280" w:lineRule="exact"/>
        <w:ind w:firstLine="420" w:firstLineChars="200"/>
        <w:rPr>
          <w:rFonts w:ascii="宋体" w:hAnsi="宋体" w:eastAsia="宋体" w:cs="宋体"/>
          <w:color w:val="000000" w:themeColor="text1"/>
          <w:kern w:val="0"/>
          <w:szCs w:val="21"/>
          <w:highlight w:val="none"/>
          <w14:textFill>
            <w14:solidFill>
              <w14:schemeClr w14:val="tx1"/>
            </w14:solidFill>
          </w14:textFill>
        </w:rPr>
      </w:pPr>
      <w:bookmarkStart w:id="38" w:name="_Toc63781989"/>
      <w:bookmarkStart w:id="39" w:name="_Toc72154921"/>
      <w:r>
        <w:rPr>
          <w:rFonts w:hint="eastAsia" w:ascii="宋体" w:hAnsi="宋体" w:eastAsia="宋体" w:cs="宋体"/>
          <w:color w:val="000000" w:themeColor="text1"/>
          <w:kern w:val="0"/>
          <w:szCs w:val="21"/>
          <w:highlight w:val="none"/>
          <w14:textFill>
            <w14:solidFill>
              <w14:schemeClr w14:val="tx1"/>
            </w14:solidFill>
          </w14:textFill>
        </w:rPr>
        <w:t>注：【】为五年累计数</w:t>
      </w:r>
    </w:p>
    <w:p>
      <w:pPr>
        <w:ind w:firstLine="640" w:firstLineChars="200"/>
        <w:outlineLvl w:val="0"/>
        <w:rPr>
          <w:rFonts w:ascii="Times New Roman" w:hAnsi="Times New Roman" w:eastAsia="黑体" w:cs="Times New Roman"/>
          <w:color w:val="000000" w:themeColor="text1"/>
          <w:sz w:val="32"/>
          <w:szCs w:val="32"/>
          <w:highlight w:val="none"/>
          <w14:textFill>
            <w14:solidFill>
              <w14:schemeClr w14:val="tx1"/>
            </w14:solidFill>
          </w14:textFill>
        </w:rPr>
      </w:pPr>
      <w:r>
        <w:rPr>
          <w:rFonts w:ascii="Times New Roman" w:hAnsi="Times New Roman" w:eastAsia="黑体" w:cs="Times New Roman"/>
          <w:color w:val="000000" w:themeColor="text1"/>
          <w:sz w:val="32"/>
          <w:szCs w:val="32"/>
          <w:highlight w:val="none"/>
          <w14:textFill>
            <w14:solidFill>
              <w14:schemeClr w14:val="tx1"/>
            </w14:solidFill>
          </w14:textFill>
        </w:rPr>
        <w:t>四、主要任务</w:t>
      </w:r>
      <w:bookmarkEnd w:id="38"/>
      <w:bookmarkEnd w:id="39"/>
    </w:p>
    <w:p>
      <w:pPr>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bookmarkStart w:id="40" w:name="_Toc49460173"/>
      <w:r>
        <w:rPr>
          <w:rFonts w:hint="eastAsia" w:ascii="Times New Roman" w:hAnsi="Times New Roman" w:eastAsia="仿宋_GB2312" w:cs="Times New Roman"/>
          <w:color w:val="000000" w:themeColor="text1"/>
          <w:sz w:val="32"/>
          <w:szCs w:val="32"/>
          <w:highlight w:val="none"/>
          <w14:textFill>
            <w14:solidFill>
              <w14:schemeClr w14:val="tx1"/>
            </w14:solidFill>
          </w14:textFill>
        </w:rPr>
        <w:t>发挥“红色流水线、服务零距离”党建实践品牌引领作用，以“局科长走流程”专项活动为抓手，坚持把“民生为本、就业优先”这一主线贯穿人力社保工作始终，大力实施“就业富民工程、社保惠民工程、人才兴民工程、和谐安民工程、服务便民工程”五大民生工程，推动人力社保各项事业有机衔接、提质升级。</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41" w:name="_Toc63781990"/>
      <w:bookmarkStart w:id="42" w:name="_Toc72154922"/>
      <w:r>
        <w:rPr>
          <w:rFonts w:ascii="Times New Roman" w:hAnsi="Times New Roman" w:eastAsia="楷体_GB2312" w:cs="Times New Roman"/>
          <w:bCs/>
          <w:color w:val="000000" w:themeColor="text1"/>
          <w:sz w:val="32"/>
          <w:szCs w:val="32"/>
          <w:highlight w:val="none"/>
          <w14:textFill>
            <w14:solidFill>
              <w14:schemeClr w14:val="tx1"/>
            </w14:solidFill>
          </w14:textFill>
        </w:rPr>
        <w:t>（一）</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加强就业工作系统化</w:t>
      </w:r>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促进城乡充分就业</w:t>
      </w:r>
      <w:bookmarkEnd w:id="41"/>
      <w:bookmarkEnd w:id="42"/>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实施就业富民工程，坚持把就业作为保障和改善民生的头等大事，以党建引领就业服务全过程，构建全区各级各部门齐抓共管的“就业+培训”新格局，</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实施</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“八个一批”就业举措</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形成产业助力、培训促进、创业带动、政策支持的系统化合力，打造“军庄-龙泉-永定-潭柘寺”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门城地区</w:t>
      </w:r>
      <w:r>
        <w:rPr>
          <w:rFonts w:hint="eastAsia" w:ascii="仿宋_GB2312" w:hAnsi="仿宋_GB2312" w:eastAsia="仿宋_GB2312" w:cs="仿宋_GB2312"/>
          <w:color w:val="000000" w:themeColor="text1"/>
          <w:sz w:val="32"/>
          <w:szCs w:val="32"/>
          <w:highlight w:val="none"/>
          <w14:textFill>
            <w14:solidFill>
              <w14:schemeClr w14:val="tx1"/>
            </w14:solidFill>
          </w14:textFill>
        </w:rPr>
        <w:t>、田庄村为中心的深山区和炭厂村为中心的浅山区三条就业沟域品牌，不断扩大就业规模，进一步提升就业层次，提高劳动者收入水平，推动实现更加充分更高质量就业。</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43" w:name="_Toc63781991"/>
      <w:bookmarkStart w:id="44" w:name="_Toc72154923"/>
      <w:r>
        <w:rPr>
          <w:rFonts w:hint="eastAsia" w:ascii="仿宋_GB2312" w:hAnsi="仿宋_GB2312" w:eastAsia="仿宋_GB2312" w:cs="仿宋_GB2312"/>
          <w:b/>
          <w:bCs/>
          <w:color w:val="000000" w:themeColor="text1"/>
          <w:sz w:val="32"/>
          <w:szCs w:val="32"/>
          <w:highlight w:val="none"/>
          <w14:textFill>
            <w14:solidFill>
              <w14:schemeClr w14:val="tx1"/>
            </w14:solidFill>
          </w14:textFill>
        </w:rPr>
        <w:t>1.强化多元共治，构建大就业新格局</w:t>
      </w:r>
      <w:bookmarkEnd w:id="43"/>
      <w:bookmarkEnd w:id="44"/>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健全就业服务工作体系。</w:t>
      </w:r>
      <w:r>
        <w:rPr>
          <w:rFonts w:hint="eastAsia" w:ascii="仿宋_GB2312" w:hAnsi="仿宋_GB2312" w:eastAsia="仿宋_GB2312" w:cs="仿宋_GB2312"/>
          <w:color w:val="000000" w:themeColor="text1"/>
          <w:sz w:val="32"/>
          <w:szCs w:val="32"/>
          <w:highlight w:val="none"/>
          <w14:textFill>
            <w14:solidFill>
              <w14:schemeClr w14:val="tx1"/>
            </w14:solidFill>
          </w14:textFill>
        </w:rPr>
        <w:t>健全双循环就业服务工作体系，“纵向”串联区就业工作领导小组、区人力社保局、镇街、村居四个层级，“横向”辐射多个行业主管部门，各部门、多平台分工协作，织密全区就业网。抓牢“体外循环”，区级层面负责顶层设计，各行业主管部门负责行业就业，各镇街和石龙管委会负责属地就业，村居传递信息、落实服务。抓实“体内循环”，区人力社保局及行业主管部门设立就业服务指导员，镇街和石龙管委会设立就业服务专员，村居“两委”设立就业保障委员，形成就业服务新模式。</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压实各级各部门就业责任。</w:t>
      </w:r>
      <w:r>
        <w:rPr>
          <w:rFonts w:hint="eastAsia" w:ascii="仿宋_GB2312" w:hAnsi="仿宋_GB2312" w:eastAsia="仿宋_GB2312" w:cs="仿宋_GB2312"/>
          <w:color w:val="000000" w:themeColor="text1"/>
          <w:sz w:val="32"/>
          <w:szCs w:val="32"/>
          <w:highlight w:val="none"/>
          <w14:textFill>
            <w14:solidFill>
              <w14:schemeClr w14:val="tx1"/>
            </w14:solidFill>
          </w14:textFill>
        </w:rPr>
        <w:t>压实行业责任，区级各行业主管部门全面掌握本行业就业情况，加强指导监督，扩大和稳定本行业就业，不断提高就业质量。压实镇街责任，各镇街围绕本地区就业年度计划和各项具体措施，强化就业问题的收集反馈，完成各项就业工作指标任务。压实村居责任，保障就业政策、就业服务、就业诉求在基层落实落地，打通就业服务“最后一公里”。</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完善就业服务运行机制。</w:t>
      </w:r>
      <w:r>
        <w:rPr>
          <w:rFonts w:hint="eastAsia" w:ascii="仿宋_GB2312" w:hAnsi="仿宋_GB2312" w:eastAsia="仿宋_GB2312" w:cs="仿宋_GB2312"/>
          <w:color w:val="000000" w:themeColor="text1"/>
          <w:sz w:val="32"/>
          <w:szCs w:val="32"/>
          <w:highlight w:val="none"/>
          <w14:textFill>
            <w14:solidFill>
              <w14:schemeClr w14:val="tx1"/>
            </w14:solidFill>
          </w14:textFill>
        </w:rPr>
        <w:t>完善信息反馈机制，逐级汇总企业问题清单和劳动力服务难题清单，畅通反馈渠道。完善快速响应机制，建立分类处置工作流程，实现“一般性问题即时办，重要问题协商办”。完善定期会商机制，聚焦流程优化，实行全区调度，研判重点难点，强化就业影响评估和就业政策评估。完善统计分析机制，加大就业形势监测预警力度，及时总结分析就业突出问题，形成上下左右畅通的报送制度。</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45" w:name="_Toc63781992"/>
      <w:bookmarkStart w:id="46" w:name="_Toc72154924"/>
      <w:r>
        <w:rPr>
          <w:rFonts w:hint="eastAsia" w:ascii="仿宋_GB2312" w:hAnsi="仿宋_GB2312" w:eastAsia="仿宋_GB2312" w:cs="仿宋_GB2312"/>
          <w:b/>
          <w:bCs/>
          <w:color w:val="000000" w:themeColor="text1"/>
          <w:sz w:val="32"/>
          <w:szCs w:val="32"/>
          <w:highlight w:val="none"/>
          <w14:textFill>
            <w14:solidFill>
              <w14:schemeClr w14:val="tx1"/>
            </w14:solidFill>
          </w14:textFill>
        </w:rPr>
        <w:t>2.强化产业助力，充分挖掘就业潜力</w:t>
      </w:r>
      <w:bookmarkEnd w:id="45"/>
      <w:bookmarkEnd w:id="46"/>
    </w:p>
    <w:p>
      <w:pPr>
        <w:ind w:firstLine="643" w:firstLineChars="200"/>
        <w:outlineLvl w:val="3"/>
        <w:rPr>
          <w:rFonts w:hint="eastAsia" w:ascii="仿宋_GB2312" w:hAnsi="仿宋_GB2312" w:eastAsia="仿宋_GB2312" w:cs="仿宋_GB2312"/>
          <w:color w:val="000000" w:themeColor="text1"/>
          <w:sz w:val="32"/>
          <w:szCs w:val="32"/>
          <w:highlight w:val="none"/>
          <w14:textFill>
            <w14:solidFill>
              <w14:schemeClr w14:val="tx1"/>
            </w14:solidFill>
          </w14:textFill>
        </w:rPr>
      </w:pPr>
      <w:bookmarkStart w:id="47" w:name="_Toc58835734"/>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构建产业带动就业新格局。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用好就业政策“红利”发展产业，将岗补社补、失业保险费返还等一系列就业政策与主导产业相结合，最大程度释放政策红利，实现产业与就业双“激”双“促”。跟好产业规划“源头”推动就业，坚持产业发展与就业规划同步考虑，项目落地与就业安置同步实施，产业评估与就业评估同步开展，不断扩大就业规模。抓好产业发展“源流”带动就业，围绕山区、城区、园区发展，找准就业安置与产业发展的契合点。</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推动</w:t>
      </w:r>
      <w:r>
        <w:rPr>
          <w:rFonts w:hint="eastAsia" w:ascii="仿宋_GB2312" w:hAnsi="仿宋_GB2312" w:eastAsia="仿宋_GB2312" w:cs="仿宋_GB2312"/>
          <w:b/>
          <w:color w:val="000000" w:themeColor="text1"/>
          <w:sz w:val="32"/>
          <w:szCs w:val="32"/>
          <w:highlight w:val="none"/>
          <w14:textFill>
            <w14:solidFill>
              <w14:schemeClr w14:val="tx1"/>
            </w14:solidFill>
          </w14:textFill>
        </w:rPr>
        <w:t>绿色产业发展</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带动就业。</w:t>
      </w:r>
      <w:bookmarkEnd w:id="47"/>
      <w:r>
        <w:rPr>
          <w:rFonts w:hint="eastAsia" w:ascii="仿宋_GB2312" w:hAnsi="仿宋_GB2312" w:eastAsia="仿宋_GB2312" w:cs="仿宋_GB2312"/>
          <w:color w:val="000000" w:themeColor="text1"/>
          <w:sz w:val="32"/>
          <w:szCs w:val="32"/>
          <w:highlight w:val="none"/>
          <w14:textFill>
            <w14:solidFill>
              <w14:schemeClr w14:val="tx1"/>
            </w14:solidFill>
          </w14:textFill>
        </w:rPr>
        <w:t>激活就业载体，推进“门头沟小院+”高质量发展。用实用好岗补社补、规模</w:t>
      </w:r>
      <w:r>
        <w:rPr>
          <w:rFonts w:ascii="仿宋_GB2312" w:hAnsi="仿宋_GB2312" w:eastAsia="仿宋_GB2312" w:cs="仿宋_GB2312"/>
          <w:color w:val="000000" w:themeColor="text1"/>
          <w:sz w:val="32"/>
          <w:szCs w:val="32"/>
          <w:highlight w:val="none"/>
          <w14:textFill>
            <w14:solidFill>
              <w14:schemeClr w14:val="tx1"/>
            </w14:solidFill>
          </w14:textFill>
        </w:rPr>
        <w:t>用工补贴</w:t>
      </w:r>
      <w:r>
        <w:rPr>
          <w:rFonts w:hint="eastAsia" w:ascii="仿宋_GB2312" w:hAnsi="仿宋_GB2312" w:eastAsia="仿宋_GB2312" w:cs="仿宋_GB2312"/>
          <w:color w:val="000000" w:themeColor="text1"/>
          <w:sz w:val="32"/>
          <w:szCs w:val="32"/>
          <w:highlight w:val="none"/>
          <w14:textFill>
            <w14:solidFill>
              <w14:schemeClr w14:val="tx1"/>
            </w14:solidFill>
          </w14:textFill>
        </w:rPr>
        <w:t>等政策，推广新型</w:t>
      </w:r>
      <w:r>
        <w:rPr>
          <w:rFonts w:ascii="仿宋_GB2312" w:hAnsi="仿宋_GB2312" w:eastAsia="仿宋_GB2312" w:cs="仿宋_GB2312"/>
          <w:color w:val="000000" w:themeColor="text1"/>
          <w:sz w:val="32"/>
          <w:szCs w:val="32"/>
          <w:highlight w:val="none"/>
          <w14:textFill>
            <w14:solidFill>
              <w14:schemeClr w14:val="tx1"/>
            </w14:solidFill>
          </w14:textFill>
        </w:rPr>
        <w:t>农民合作社和</w:t>
      </w:r>
      <w:r>
        <w:rPr>
          <w:rFonts w:hint="eastAsia" w:ascii="仿宋_GB2312" w:hAnsi="仿宋_GB2312" w:eastAsia="仿宋_GB2312" w:cs="仿宋_GB2312"/>
          <w:color w:val="000000" w:themeColor="text1"/>
          <w:sz w:val="32"/>
          <w:szCs w:val="32"/>
          <w:highlight w:val="none"/>
          <w14:textFill>
            <w14:solidFill>
              <w14:schemeClr w14:val="tx1"/>
            </w14:solidFill>
          </w14:textFill>
        </w:rPr>
        <w:t>村</w:t>
      </w:r>
      <w:r>
        <w:rPr>
          <w:rFonts w:ascii="仿宋_GB2312" w:hAnsi="仿宋_GB2312" w:eastAsia="仿宋_GB2312" w:cs="仿宋_GB2312"/>
          <w:color w:val="000000" w:themeColor="text1"/>
          <w:sz w:val="32"/>
          <w:szCs w:val="32"/>
          <w:highlight w:val="none"/>
          <w14:textFill>
            <w14:solidFill>
              <w14:schemeClr w14:val="tx1"/>
            </w14:solidFill>
          </w14:textFill>
        </w:rPr>
        <w:t>企</w:t>
      </w:r>
      <w:r>
        <w:rPr>
          <w:rFonts w:hint="eastAsia" w:ascii="仿宋_GB2312" w:hAnsi="仿宋_GB2312" w:eastAsia="仿宋_GB2312" w:cs="仿宋_GB2312"/>
          <w:color w:val="000000" w:themeColor="text1"/>
          <w:sz w:val="32"/>
          <w:szCs w:val="32"/>
          <w:highlight w:val="none"/>
          <w14:textFill>
            <w14:solidFill>
              <w14:schemeClr w14:val="tx1"/>
            </w14:solidFill>
          </w14:textFill>
        </w:rPr>
        <w:t>共建</w:t>
      </w:r>
      <w:r>
        <w:rPr>
          <w:rFonts w:ascii="仿宋_GB2312" w:hAnsi="仿宋_GB2312" w:eastAsia="仿宋_GB2312" w:cs="仿宋_GB2312"/>
          <w:color w:val="000000" w:themeColor="text1"/>
          <w:sz w:val="32"/>
          <w:szCs w:val="32"/>
          <w:highlight w:val="none"/>
          <w14:textFill>
            <w14:solidFill>
              <w14:schemeClr w14:val="tx1"/>
            </w14:solidFill>
          </w14:textFill>
        </w:rPr>
        <w:t>模式，</w:t>
      </w:r>
      <w:r>
        <w:rPr>
          <w:rFonts w:hint="eastAsia" w:ascii="仿宋_GB2312" w:hAnsi="仿宋_GB2312" w:eastAsia="仿宋_GB2312" w:cs="仿宋_GB2312"/>
          <w:color w:val="000000" w:themeColor="text1"/>
          <w:sz w:val="32"/>
          <w:szCs w:val="32"/>
          <w:highlight w:val="none"/>
          <w14:textFill>
            <w14:solidFill>
              <w14:schemeClr w14:val="tx1"/>
            </w14:solidFill>
          </w14:textFill>
        </w:rPr>
        <w:t>多渠道支持各类市场主体发展精品民宿；培育发展新型集体林场，稳定和新增绿色就业岗位，推动农民逐步纳入城镇职工社会保障体系。激发就业动力，促进农村劳动力高质量就业。围绕“美丽主人”“金牌厨师”“绿领管家”等岗位，引导农民参加技能培训，提升就业能力，打造“民宿+田园综合体”行业京西铁军。</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提高重点产业的就业承载力。</w:t>
      </w:r>
      <w:r>
        <w:rPr>
          <w:rFonts w:hint="eastAsia" w:ascii="仿宋_GB2312" w:hAnsi="仿宋_GB2312" w:eastAsia="仿宋_GB2312" w:cs="仿宋_GB2312"/>
          <w:color w:val="000000" w:themeColor="text1"/>
          <w:sz w:val="32"/>
          <w:szCs w:val="32"/>
          <w:highlight w:val="none"/>
          <w14:textFill>
            <w14:solidFill>
              <w14:schemeClr w14:val="tx1"/>
            </w14:solidFill>
          </w14:textFill>
        </w:rPr>
        <w:t>聚焦全区重点发展的文旅体验、科创智能、医药健康三大产业，挖掘重大项目就业潜力，加快调整优化就业结构进程，引领带动高质量就业。加快发展数字经济，推动数字经济和实体经济深度融合，培育多元化多层次就业需求。定期征集中关村科技园门头沟园企业岗位需求，综合利用引进高校毕业生、就业见习支持等政策，吸引高素质人才聚集。扶持创新型企业和中小微企业，培育新的就业增长点，增强经济发展创造就业岗位的能力。</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拓展服务业就业途径。</w:t>
      </w:r>
      <w:r>
        <w:rPr>
          <w:rFonts w:hint="eastAsia" w:ascii="仿宋_GB2312" w:hAnsi="仿宋_GB2312" w:eastAsia="仿宋_GB2312" w:cs="仿宋_GB2312"/>
          <w:color w:val="000000" w:themeColor="text1"/>
          <w:sz w:val="32"/>
          <w:szCs w:val="32"/>
          <w:highlight w:val="none"/>
          <w14:textFill>
            <w14:solidFill>
              <w14:schemeClr w14:val="tx1"/>
            </w14:solidFill>
          </w14:textFill>
        </w:rPr>
        <w:t>挖掘新业态灵活用工和城市精细化治理方面的就业岗位，引导城乡劳动力到配送服务、养老服务、托育服务、社区服务等行业就业。鼓励以灵活就业为代表的用工新模式和以平台型企业为代表的新业态发展，支持个体经营、非全日制以及新就业形态等灵活多样的就业方式。挖掘区内重大工程、政府购买服务、社会化用工等项目岗位，开展“直播带岗”系列活动，帮助区内劳动力就业。</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48" w:name="_Toc63781993"/>
      <w:bookmarkStart w:id="49" w:name="_Toc72154925"/>
      <w:r>
        <w:rPr>
          <w:rFonts w:hint="eastAsia" w:ascii="仿宋_GB2312" w:hAnsi="仿宋_GB2312" w:eastAsia="仿宋_GB2312" w:cs="仿宋_GB2312"/>
          <w:b/>
          <w:bCs/>
          <w:color w:val="000000" w:themeColor="text1"/>
          <w:sz w:val="32"/>
          <w:szCs w:val="32"/>
          <w:highlight w:val="none"/>
          <w14:textFill>
            <w14:solidFill>
              <w14:schemeClr w14:val="tx1"/>
            </w14:solidFill>
          </w14:textFill>
        </w:rPr>
        <w:t>3.强化培训促进，大力提升就业质量</w:t>
      </w:r>
      <w:bookmarkEnd w:id="48"/>
      <w:bookmarkEnd w:id="49"/>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bookmarkStart w:id="50" w:name="_Toc58835741"/>
      <w:r>
        <w:rPr>
          <w:rFonts w:hint="eastAsia" w:ascii="仿宋_GB2312" w:hAnsi="仿宋_GB2312" w:eastAsia="仿宋_GB2312" w:cs="仿宋_GB2312"/>
          <w:b/>
          <w:color w:val="000000" w:themeColor="text1"/>
          <w:sz w:val="32"/>
          <w:szCs w:val="32"/>
          <w:highlight w:val="none"/>
          <w14:textFill>
            <w14:solidFill>
              <w14:schemeClr w14:val="tx1"/>
            </w14:solidFill>
          </w14:textFill>
        </w:rPr>
        <w:t>建立培训与就业的联动机制。</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实施“两山”理论守护人全域培训计划，开展</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多部门协同、社会力量参与的</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全方位、多层次的培训</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，打造大培训格局</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结合全区就业岗位需求和特点，促进培训与就业形成长效联动机制，不断创新培训内容和培训形式，发展多种形式的在线培训，实现劳动者技能素质和就业岗位的有效对接。加强边缘户、民宿从业人员等重点人群培训意愿调查，精准开展各类培训。扎实开展城市协管员队伍岗前培训。</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大规模开展职业技能培训。</w:t>
      </w:r>
      <w:r>
        <w:rPr>
          <w:rFonts w:hint="eastAsia" w:ascii="仿宋_GB2312" w:hAnsi="仿宋_GB2312" w:eastAsia="仿宋_GB2312" w:cs="仿宋_GB2312"/>
          <w:color w:val="000000" w:themeColor="text1"/>
          <w:sz w:val="32"/>
          <w:szCs w:val="32"/>
          <w:highlight w:val="none"/>
          <w14:textFill>
            <w14:solidFill>
              <w14:schemeClr w14:val="tx1"/>
            </w14:solidFill>
          </w14:textFill>
        </w:rPr>
        <w:t>落实全区职业技能提升行动计划，引导各成员单位针对企业需求大力开展培训。搭建</w:t>
      </w:r>
      <w:r>
        <w:rPr>
          <w:rFonts w:ascii="仿宋_GB2312" w:hAnsi="仿宋_GB2312" w:eastAsia="仿宋_GB2312" w:cs="仿宋_GB2312"/>
          <w:color w:val="000000" w:themeColor="text1"/>
          <w:sz w:val="32"/>
          <w:szCs w:val="32"/>
          <w:highlight w:val="none"/>
          <w14:textFill>
            <w14:solidFill>
              <w14:schemeClr w14:val="tx1"/>
            </w14:solidFill>
          </w14:textFill>
        </w:rPr>
        <w:t>培训就业直通车，</w:t>
      </w:r>
      <w:r>
        <w:rPr>
          <w:rFonts w:hint="eastAsia" w:ascii="仿宋_GB2312" w:eastAsia="仿宋_GB2312"/>
          <w:color w:val="000000" w:themeColor="text1"/>
          <w:sz w:val="32"/>
          <w:szCs w:val="32"/>
          <w:highlight w:val="none"/>
          <w14:textFill>
            <w14:solidFill>
              <w14:schemeClr w14:val="tx1"/>
            </w14:solidFill>
          </w14:textFill>
        </w:rPr>
        <w:t>建立</w:t>
      </w:r>
      <w:r>
        <w:rPr>
          <w:rFonts w:hint="eastAsia" w:ascii="仿宋_GB2312" w:eastAsia="仿宋_GB2312"/>
          <w:color w:val="000000" w:themeColor="text1"/>
          <w:sz w:val="32"/>
          <w:szCs w:val="32"/>
          <w:highlight w:val="none"/>
          <w:lang w:val="en-US" w:eastAsia="zh-CN"/>
          <w14:textFill>
            <w14:solidFill>
              <w14:schemeClr w14:val="tx1"/>
            </w14:solidFill>
          </w14:textFill>
        </w:rPr>
        <w:t>建强</w:t>
      </w:r>
      <w:r>
        <w:rPr>
          <w:rFonts w:hint="eastAsia" w:ascii="仿宋_GB2312" w:eastAsia="仿宋_GB2312"/>
          <w:color w:val="000000" w:themeColor="text1"/>
          <w:sz w:val="32"/>
          <w:szCs w:val="32"/>
          <w:highlight w:val="none"/>
          <w14:textFill>
            <w14:solidFill>
              <w14:schemeClr w14:val="tx1"/>
            </w14:solidFill>
          </w14:textFill>
        </w:rPr>
        <w:t>门头沟小院联盟就业培训基地，</w:t>
      </w:r>
      <w:r>
        <w:rPr>
          <w:rFonts w:hint="eastAsia" w:ascii="仿宋_GB2312" w:hAnsi="仿宋_GB2312" w:eastAsia="仿宋_GB2312" w:cs="仿宋_GB2312"/>
          <w:color w:val="000000" w:themeColor="text1"/>
          <w:sz w:val="32"/>
          <w:szCs w:val="32"/>
          <w:highlight w:val="none"/>
          <w14:textFill>
            <w14:solidFill>
              <w14:schemeClr w14:val="tx1"/>
            </w14:solidFill>
          </w14:textFill>
        </w:rPr>
        <w:t>开展“门头沟小院+”定向培训，培养一批精品民宿管家和旅游从业人员，提升农村劳动力、登记失业人员等重点群体职业技能水平，推进培训就业一体化。引导各行业主管部门面向重点产业、生活性服务市场、城市运行保障领域从业人员开展职业技能培训，加快提升劳动者技能素养。</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优化职业技能培训供给。</w:t>
      </w:r>
      <w:r>
        <w:rPr>
          <w:rFonts w:hint="eastAsia" w:ascii="仿宋_GB2312" w:hAnsi="仿宋_GB2312" w:eastAsia="仿宋_GB2312" w:cs="仿宋_GB2312"/>
          <w:color w:val="000000" w:themeColor="text1"/>
          <w:sz w:val="32"/>
          <w:szCs w:val="32"/>
          <w:highlight w:val="none"/>
          <w14:textFill>
            <w14:solidFill>
              <w14:schemeClr w14:val="tx1"/>
            </w14:solidFill>
          </w14:textFill>
        </w:rPr>
        <w:t>整合培训资源，提高全区职业技能培训机构水平，积极引进优质职业技能培训机构，鼓励企业开设培训中心、企业大学，建设一批职业技能培训基地。弘扬工匠精神，举办职业技能大赛，指导行业企业开展岗位练兵、技能比武等活动，加强电商创业、直播营销、人工智能、数字化管理等全新培训课程开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开展</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民办职业培训机构专项整治，</w:t>
      </w:r>
      <w:r>
        <w:rPr>
          <w:rFonts w:hint="eastAsia" w:ascii="仿宋_GB2312"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联合市场监管局摸排全区教育咨询类、健康管理类企业风险隐患，营造健康、有序、规范的职业培训环境。</w:t>
      </w:r>
    </w:p>
    <w:bookmarkEnd w:id="50"/>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51" w:name="_Toc63781994"/>
      <w:bookmarkStart w:id="52" w:name="_Toc72154926"/>
      <w:r>
        <w:rPr>
          <w:rFonts w:hint="eastAsia" w:ascii="仿宋_GB2312" w:hAnsi="仿宋_GB2312" w:eastAsia="仿宋_GB2312" w:cs="仿宋_GB2312"/>
          <w:b/>
          <w:bCs/>
          <w:color w:val="000000" w:themeColor="text1"/>
          <w:sz w:val="32"/>
          <w:szCs w:val="32"/>
          <w:highlight w:val="none"/>
          <w14:textFill>
            <w14:solidFill>
              <w14:schemeClr w14:val="tx1"/>
            </w14:solidFill>
          </w14:textFill>
        </w:rPr>
        <w:t>4.强化创业带动，全面拓宽就业渠道</w:t>
      </w:r>
      <w:bookmarkEnd w:id="51"/>
      <w:bookmarkEnd w:id="52"/>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激发劳动者创业创新积极性。</w:t>
      </w:r>
      <w:r>
        <w:rPr>
          <w:rFonts w:hint="eastAsia" w:ascii="仿宋_GB2312" w:hAnsi="仿宋_GB2312" w:eastAsia="仿宋_GB2312" w:cs="仿宋_GB2312"/>
          <w:color w:val="000000" w:themeColor="text1"/>
          <w:sz w:val="32"/>
          <w:szCs w:val="32"/>
          <w:highlight w:val="none"/>
          <w14:textFill>
            <w14:solidFill>
              <w14:schemeClr w14:val="tx1"/>
            </w14:solidFill>
          </w14:textFill>
        </w:rPr>
        <w:t>完善促进创业带动就业政策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体系</w:t>
      </w:r>
      <w:r>
        <w:rPr>
          <w:rFonts w:hint="eastAsia" w:ascii="仿宋_GB2312" w:hAnsi="仿宋_GB2312" w:eastAsia="仿宋_GB2312" w:cs="仿宋_GB2312"/>
          <w:color w:val="000000" w:themeColor="text1"/>
          <w:sz w:val="32"/>
          <w:szCs w:val="32"/>
          <w:highlight w:val="none"/>
          <w14:textFill>
            <w14:solidFill>
              <w14:schemeClr w14:val="tx1"/>
            </w14:solidFill>
          </w14:textFill>
        </w:rPr>
        <w:t>，推动各项创业支持政策与就业带动成效挂钩，加强对重点群体创业帮扶，逐步扩大政策扶持范围、加大扶持力度。引导城乡劳动者围绕“门头沟小院+”开展创业活动，鼓励高校毕业生、退伍转业军人等群体带着资金和技术返乡创业。加大个体经营和灵活就业人员创业扶持，支持微商电商、网络直播等多样化的自主创业就业，激发全社会创新创业创造动能。</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加快创业孵化基地建设。</w:t>
      </w:r>
      <w:r>
        <w:rPr>
          <w:rFonts w:hint="eastAsia" w:ascii="仿宋_GB2312" w:hAnsi="仿宋_GB2312" w:eastAsia="仿宋_GB2312" w:cs="仿宋_GB2312"/>
          <w:color w:val="000000" w:themeColor="text1"/>
          <w:sz w:val="32"/>
          <w:szCs w:val="32"/>
          <w:highlight w:val="none"/>
          <w14:textFill>
            <w14:solidFill>
              <w14:schemeClr w14:val="tx1"/>
            </w14:solidFill>
          </w14:textFill>
        </w:rPr>
        <w:t>研究出台创业孵化示范基地认定标准，认定一批区级创业孵化示范基地。制定创业孵化基地专项扶持政策，助力在孵企业发展，催生一批高水平创新创业项目。引导创业孵化基地围绕新经济、新产业、新业态组织实施各类创业活动，提供低成本、便利化、全要素、开放式的创新创业服务。</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增强创新创业服务能力。</w:t>
      </w:r>
      <w:r>
        <w:rPr>
          <w:rFonts w:hint="eastAsia" w:ascii="仿宋_GB2312" w:hAnsi="仿宋_GB2312" w:eastAsia="仿宋_GB2312" w:cs="仿宋_GB2312"/>
          <w:color w:val="000000" w:themeColor="text1"/>
          <w:sz w:val="32"/>
          <w:szCs w:val="32"/>
          <w:highlight w:val="none"/>
          <w14:textFill>
            <w14:solidFill>
              <w14:schemeClr w14:val="tx1"/>
            </w14:solidFill>
          </w14:textFill>
        </w:rPr>
        <w:t>深化“放管服”改革，按照市级要求推行“照后减证”和简化审批，落实和完善创业担保贷款、税费减免、金融支持等措施，完善多层次创业服务体系。落实促进创业带动就业三年行动计划，面向重点群体和初创企业，开展融资、孵化、培训指导、政策咨询等专业化全景式服务。举办创新创业大赛、项目推介会等活动，整合政策和服务资源助推创新创业成果落地，营造良好创业氛围。</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53" w:name="_Toc63781995"/>
      <w:bookmarkStart w:id="54" w:name="_Toc72154927"/>
      <w:r>
        <w:rPr>
          <w:rFonts w:hint="eastAsia" w:ascii="仿宋_GB2312" w:hAnsi="仿宋_GB2312" w:eastAsia="仿宋_GB2312" w:cs="仿宋_GB2312"/>
          <w:b/>
          <w:bCs/>
          <w:color w:val="000000" w:themeColor="text1"/>
          <w:sz w:val="32"/>
          <w:szCs w:val="32"/>
          <w:highlight w:val="none"/>
          <w14:textFill>
            <w14:solidFill>
              <w14:schemeClr w14:val="tx1"/>
            </w14:solidFill>
          </w14:textFill>
        </w:rPr>
        <w:t>5.强化政策支持，帮扶重点群体就业</w:t>
      </w:r>
      <w:bookmarkEnd w:id="53"/>
      <w:bookmarkEnd w:id="54"/>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bookmarkStart w:id="55" w:name="_Toc58835735"/>
      <w:r>
        <w:rPr>
          <w:rFonts w:hint="eastAsia" w:ascii="仿宋_GB2312" w:hAnsi="仿宋_GB2312" w:eastAsia="仿宋_GB2312" w:cs="仿宋_GB2312"/>
          <w:b/>
          <w:color w:val="000000" w:themeColor="text1"/>
          <w:sz w:val="32"/>
          <w:szCs w:val="32"/>
          <w:highlight w:val="none"/>
          <w14:textFill>
            <w14:solidFill>
              <w14:schemeClr w14:val="tx1"/>
            </w14:solidFill>
          </w14:textFill>
        </w:rPr>
        <w:t>深入实施就业优先政策。</w:t>
      </w:r>
      <w:r>
        <w:rPr>
          <w:rFonts w:hint="eastAsia" w:ascii="仿宋_GB2312" w:hAnsi="仿宋_GB2312" w:eastAsia="仿宋_GB2312" w:cs="仿宋_GB2312"/>
          <w:color w:val="000000" w:themeColor="text1"/>
          <w:sz w:val="32"/>
          <w:szCs w:val="32"/>
          <w:highlight w:val="none"/>
          <w14:textFill>
            <w14:solidFill>
              <w14:schemeClr w14:val="tx1"/>
            </w14:solidFill>
          </w14:textFill>
        </w:rPr>
        <w:t>建立政策协同和传导落实机制，综合利用财政、金融、产业和投资等政策聚力支持高质量就业。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推出五种就业模式，</w:t>
      </w:r>
      <w:r>
        <w:rPr>
          <w:rFonts w:hint="eastAsia" w:ascii="仿宋_GB2312" w:hAnsi="仿宋_GB2312" w:eastAsia="仿宋_GB2312" w:cs="仿宋_GB2312"/>
          <w:color w:val="000000" w:themeColor="text1"/>
          <w:sz w:val="32"/>
          <w:szCs w:val="32"/>
          <w:highlight w:val="none"/>
          <w14:textFill>
            <w14:solidFill>
              <w14:schemeClr w14:val="tx1"/>
            </w14:solidFill>
          </w14:textFill>
        </w:rPr>
        <w:t>充分利用市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政策，推动农村劳动力实现充分和高质量就业。延续落实以训兴业、失业保险费返还等政策，持续帮助市场主体减负稳岗。鼓励承担政府购买服务类项目和重大工程的单位，提高使用本区劳动力比例。</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强化就业困难群体政策帮扶。</w:t>
      </w:r>
      <w:r>
        <w:rPr>
          <w:rFonts w:hint="eastAsia" w:ascii="仿宋_GB2312" w:hAnsi="仿宋_GB2312" w:eastAsia="仿宋_GB2312" w:cs="仿宋_GB2312"/>
          <w:color w:val="000000" w:themeColor="text1"/>
          <w:sz w:val="32"/>
          <w:szCs w:val="32"/>
          <w:highlight w:val="none"/>
          <w14:textFill>
            <w14:solidFill>
              <w14:schemeClr w14:val="tx1"/>
            </w14:solidFill>
          </w14:textFill>
        </w:rPr>
        <w:t>持续做好困难家庭毕业生“一生一策”重点帮扶，确保有就业意愿的困难家庭毕业生100%获得帮扶。充分利用各类公益性岗位托底安置就业困难人员，鼓励就业困难人员多渠道灵活就业。</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征集城市公共服务类岗位，促进农村劳动力转移就业</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全面实行实名制，确保“零就业家庭”动态清零。</w:t>
      </w:r>
    </w:p>
    <w:p>
      <w:pPr>
        <w:ind w:firstLine="643" w:firstLineChars="200"/>
        <w:outlineLvl w:val="3"/>
        <w:rPr>
          <w:color w:val="000000" w:themeColor="text1"/>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加强和改进公共就业服务。</w:t>
      </w:r>
      <w:bookmarkEnd w:id="55"/>
      <w:r>
        <w:rPr>
          <w:rFonts w:hint="eastAsia" w:ascii="仿宋_GB2312" w:hAnsi="仿宋_GB2312" w:eastAsia="仿宋_GB2312" w:cs="仿宋_GB2312"/>
          <w:color w:val="000000" w:themeColor="text1"/>
          <w:sz w:val="32"/>
          <w:szCs w:val="32"/>
          <w:highlight w:val="none"/>
          <w14:textFill>
            <w14:solidFill>
              <w14:schemeClr w14:val="tx1"/>
            </w14:solidFill>
          </w14:textFill>
        </w:rPr>
        <w:t>加强三级公共人力资源服务机构建设，推动就业服务向村居延伸下沉。建立区级就业工作培训平台，定期对基层公共就业服务人员进行培训。持续开展“春风行动”“就业援助月”“周五定期招聘会”等品牌化就业服务活动。集聚人力资源服务机构，有效提高就业服务市场化水平，形成公共机构和经营性机构互补发展局面。结合“两区”建设要求，优化外籍人才就业环境，为外籍人才就业提供便利化、个性化服务。</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56" w:name="_Toc58835745"/>
      <w:bookmarkStart w:id="57" w:name="_Toc72154928"/>
      <w:bookmarkStart w:id="58" w:name="_Toc63781996"/>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二</w:t>
      </w:r>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推进社会保障精细化</w:t>
      </w:r>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筑牢民生</w:t>
      </w:r>
      <w:r>
        <w:rPr>
          <w:rFonts w:ascii="Times New Roman" w:hAnsi="Times New Roman" w:eastAsia="楷体_GB2312" w:cs="Times New Roman"/>
          <w:bCs/>
          <w:color w:val="000000" w:themeColor="text1"/>
          <w:sz w:val="32"/>
          <w:szCs w:val="32"/>
          <w:highlight w:val="none"/>
          <w14:textFill>
            <w14:solidFill>
              <w14:schemeClr w14:val="tx1"/>
            </w14:solidFill>
          </w14:textFill>
        </w:rPr>
        <w:t>保障</w:t>
      </w:r>
      <w:bookmarkEnd w:id="56"/>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防线</w:t>
      </w:r>
      <w:bookmarkEnd w:id="57"/>
      <w:bookmarkEnd w:id="58"/>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实施社保惠民工程，织牢织密社会保障网，健全多层次的社会保障体系，落实落细各项改革任务，重点突出社保经办流程的精细化、社保基金监管的精准化，细化开展各类社会保障服务，稳步提高社会保障水平，更好地发挥社会保障保基本、兜底线、惠民生作用。</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59" w:name="_Toc72154929"/>
      <w:bookmarkStart w:id="60" w:name="_Toc63781997"/>
      <w:r>
        <w:rPr>
          <w:rFonts w:hint="eastAsia" w:ascii="仿宋_GB2312" w:hAnsi="仿宋_GB2312" w:eastAsia="仿宋_GB2312" w:cs="仿宋_GB2312"/>
          <w:b/>
          <w:bCs/>
          <w:color w:val="000000" w:themeColor="text1"/>
          <w:sz w:val="32"/>
          <w:szCs w:val="32"/>
          <w:highlight w:val="none"/>
          <w14:textFill>
            <w14:solidFill>
              <w14:schemeClr w14:val="tx1"/>
            </w14:solidFill>
          </w14:textFill>
        </w:rPr>
        <w:t>1.细化各项改革任务，落实社保惠民政策</w:t>
      </w:r>
      <w:bookmarkEnd w:id="59"/>
      <w:bookmarkEnd w:id="60"/>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大力推进社保改革任务落地。</w:t>
      </w:r>
      <w:r>
        <w:rPr>
          <w:rFonts w:hint="eastAsia" w:ascii="仿宋_GB2312" w:hAnsi="仿宋_GB2312" w:eastAsia="仿宋_GB2312" w:cs="仿宋_GB2312"/>
          <w:color w:val="000000" w:themeColor="text1"/>
          <w:sz w:val="32"/>
          <w:szCs w:val="32"/>
          <w:highlight w:val="none"/>
          <w14:textFill>
            <w14:solidFill>
              <w14:schemeClr w14:val="tx1"/>
            </w14:solidFill>
          </w14:textFill>
        </w:rPr>
        <w:t>推进养老保险全国统筹、延迟退休、遗属补助金、病残津贴等重大制度改革平稳落地。全面落实社保费征收职责划转、工伤医疗经办业务承接等重点改革任务，平稳实施城乡居民养老保险基金市级统筹。积极促进有意愿、有经济能力的农民参加城镇职工基本养老保险。通过支持企业稳定扩大就业、促进乡村产业就业、推进公共服务岗位就业、规范乡村公益性岗位就业等方式促进农村劳动力就业参保。跟进全市面向“两区”企业外籍人员的社保改革举措，落实更加灵活的社保参保政策，探索多种方式丰富外籍人员参保场景。</w:t>
      </w:r>
    </w:p>
    <w:p>
      <w:pPr>
        <w:pStyle w:val="9"/>
        <w:ind w:firstLine="643"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积极健全可持续的社保体系。</w:t>
      </w:r>
      <w:r>
        <w:rPr>
          <w:rFonts w:hint="eastAsia" w:ascii="仿宋_GB2312" w:hAnsi="仿宋_GB2312" w:eastAsia="仿宋_GB2312" w:cs="仿宋_GB2312"/>
          <w:color w:val="000000" w:themeColor="text1"/>
          <w:sz w:val="32"/>
          <w:szCs w:val="32"/>
          <w:highlight w:val="none"/>
          <w14:textFill>
            <w14:solidFill>
              <w14:schemeClr w14:val="tx1"/>
            </w14:solidFill>
          </w14:textFill>
        </w:rPr>
        <w:t>健全多支柱养老保险体系，鼓励企业年金集合计划发展，推动个人养老金制度建设，积极促进有意愿、有经济能力的灵活就业人员等参加企业职工基本养老保险，引导新就业形态劳动者参与“全民参保计划”。扩大失业保险覆盖面，探索符合灵活就业人员职业特点的失业保险新模式。落实工伤预防、补偿、康复“三位一体”的工作部署，探索多层次工伤保险制度体系，推动建筑业等重点行业按项目开展参保扩面，实现国道109新线高速公路项目工伤保险全覆盖。持续推进全民参保计划，督促和引导各类单位和符合条件的人员长期参保，在制度全覆盖的基础上努力实现法定人群全覆盖。</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严格落实社保待遇调整政策。</w:t>
      </w:r>
      <w:r>
        <w:rPr>
          <w:rFonts w:hint="eastAsia" w:ascii="仿宋_GB2312" w:hAnsi="仿宋_GB2312" w:eastAsia="仿宋_GB2312" w:cs="仿宋_GB2312"/>
          <w:color w:val="000000" w:themeColor="text1"/>
          <w:sz w:val="32"/>
          <w:szCs w:val="32"/>
          <w:highlight w:val="none"/>
          <w14:textFill>
            <w14:solidFill>
              <w14:schemeClr w14:val="tx1"/>
            </w14:solidFill>
          </w14:textFill>
        </w:rPr>
        <w:t>落实参保人员养老、工伤、失业三项社保以及城乡居民养老保险待遇调整政策，确保各项待遇按时足额支付，逐步缩小城乡之间的待遇差距。紧跟各项社保政策的调整变化，加大宣传培训力度，建立更加多样、灵活的待遇领取方式。做好跨地区流动就业人员社保关系的转移接续，强化参保人员权益保障。</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61" w:name="_Toc58835748"/>
      <w:bookmarkStart w:id="62" w:name="_Toc63781998"/>
      <w:bookmarkStart w:id="63" w:name="_Toc72154930"/>
      <w:bookmarkStart w:id="64" w:name="_Toc49460172"/>
      <w:bookmarkStart w:id="65" w:name="_Toc43738504"/>
      <w:bookmarkStart w:id="66" w:name="_Toc49459123"/>
      <w:r>
        <w:rPr>
          <w:rFonts w:hint="eastAsia" w:ascii="仿宋_GB2312" w:hAnsi="仿宋_GB2312" w:eastAsia="仿宋_GB2312" w:cs="仿宋_GB2312"/>
          <w:b/>
          <w:bCs/>
          <w:color w:val="000000" w:themeColor="text1"/>
          <w:sz w:val="32"/>
          <w:szCs w:val="32"/>
          <w:highlight w:val="none"/>
          <w14:textFill>
            <w14:solidFill>
              <w14:schemeClr w14:val="tx1"/>
            </w14:solidFill>
          </w14:textFill>
        </w:rPr>
        <w:t>2.优化业务经办流程，提高社保服务水平</w:t>
      </w:r>
      <w:bookmarkEnd w:id="61"/>
      <w:bookmarkEnd w:id="62"/>
      <w:bookmarkEnd w:id="63"/>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积极推动“多卡合一”。</w:t>
      </w:r>
      <w:r>
        <w:rPr>
          <w:rFonts w:hint="eastAsia" w:ascii="仿宋_GB2312" w:hAnsi="仿宋_GB2312" w:eastAsia="仿宋_GB2312" w:cs="仿宋_GB2312"/>
          <w:color w:val="000000" w:themeColor="text1"/>
          <w:sz w:val="32"/>
          <w:szCs w:val="32"/>
          <w:highlight w:val="none"/>
          <w14:textFill>
            <w14:solidFill>
              <w14:schemeClr w14:val="tx1"/>
            </w14:solidFill>
          </w14:textFill>
        </w:rPr>
        <w:t>落实以第三代社保卡为基础的民生卡“多卡合一”改革，加强线上线下民生卡应用管理培训。联合多部门丰富民生卡应用场景，积极推广使用电子民生卡，提升政务服务供给能力和市民生活用卡便捷度。</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不断健全社保经办服务体系。</w:t>
      </w:r>
      <w:r>
        <w:rPr>
          <w:rFonts w:hint="eastAsia" w:ascii="仿宋_GB2312" w:hAnsi="仿宋_GB2312" w:eastAsia="仿宋_GB2312" w:cs="仿宋_GB2312"/>
          <w:color w:val="000000" w:themeColor="text1"/>
          <w:sz w:val="32"/>
          <w:szCs w:val="32"/>
          <w:highlight w:val="none"/>
          <w14:textFill>
            <w14:solidFill>
              <w14:schemeClr w14:val="tx1"/>
            </w14:solidFill>
          </w14:textFill>
        </w:rPr>
        <w:t>根据社保政策调整，持续优化简化经办流程，适时推动社保经办业务进一步向镇街下沉，方便群众就近办理一般性的个人社保业务。大力开展经办业务培训，重点加强镇街一线经办人员政策法规、业务流程等培训。推进区属国有企业退休人员社会化管理，完善退休人员社会化管理服务体系，压实属地管理服务职责，为退休人员享受各项社保待遇提供便利。</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持续提升社保经办服务水平。</w:t>
      </w:r>
      <w:r>
        <w:rPr>
          <w:rFonts w:hint="eastAsia" w:ascii="仿宋_GB2312" w:hAnsi="仿宋_GB2312" w:eastAsia="仿宋_GB2312" w:cs="仿宋_GB2312"/>
          <w:color w:val="000000" w:themeColor="text1"/>
          <w:sz w:val="32"/>
          <w:szCs w:val="32"/>
          <w:highlight w:val="none"/>
          <w14:textFill>
            <w14:solidFill>
              <w14:schemeClr w14:val="tx1"/>
            </w14:solidFill>
          </w14:textFill>
        </w:rPr>
        <w:t>结合全区参保人群的年龄、地域等分布特点，持续完善社保经办模式，推广社保业务网上办理，增强社保经办服务能力，争创全国优质社保服务窗口。落实政务服务超越行动计划，开展民生分中心场景化改革，推进关联事项“打包办”、高频事项“提速办”、所有事项“简便办”，完善“一门、一网、一次”服务。</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67" w:name="_Toc72154931"/>
      <w:bookmarkStart w:id="68" w:name="_Toc63781999"/>
      <w:bookmarkStart w:id="69" w:name="_Toc58835749"/>
      <w:r>
        <w:rPr>
          <w:rFonts w:hint="eastAsia" w:ascii="仿宋_GB2312" w:hAnsi="仿宋_GB2312" w:eastAsia="仿宋_GB2312" w:cs="仿宋_GB2312"/>
          <w:b/>
          <w:bCs/>
          <w:color w:val="000000" w:themeColor="text1"/>
          <w:sz w:val="32"/>
          <w:szCs w:val="32"/>
          <w:highlight w:val="none"/>
          <w14:textFill>
            <w14:solidFill>
              <w14:schemeClr w14:val="tx1"/>
            </w14:solidFill>
          </w14:textFill>
        </w:rPr>
        <w:t>3.健全监督管理体系，维护社保基金安全</w:t>
      </w:r>
      <w:bookmarkEnd w:id="64"/>
      <w:bookmarkEnd w:id="65"/>
      <w:bookmarkEnd w:id="66"/>
      <w:bookmarkEnd w:id="67"/>
      <w:bookmarkEnd w:id="68"/>
      <w:bookmarkEnd w:id="69"/>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加强社保基金风险防控。</w:t>
      </w:r>
      <w:r>
        <w:rPr>
          <w:rFonts w:hint="eastAsia" w:ascii="仿宋_GB2312" w:hAnsi="仿宋_GB2312" w:eastAsia="仿宋_GB2312" w:cs="仿宋_GB2312"/>
          <w:bCs/>
          <w:color w:val="000000" w:themeColor="text1"/>
          <w:sz w:val="32"/>
          <w:szCs w:val="32"/>
          <w:highlight w:val="none"/>
          <w:u w:val="none"/>
          <w:lang w:eastAsia="zh-CN"/>
          <w14:textFill>
            <w14:solidFill>
              <w14:schemeClr w14:val="tx1"/>
            </w14:solidFill>
          </w14:textFill>
        </w:rPr>
        <w:t>建立</w:t>
      </w:r>
      <w:r>
        <w:rPr>
          <w:rFonts w:hint="eastAsia" w:ascii="仿宋_GB2312" w:hAnsi="仿宋_GB2312" w:eastAsia="仿宋_GB2312" w:cs="仿宋_GB2312"/>
          <w:bCs/>
          <w:color w:val="000000" w:themeColor="text1"/>
          <w:sz w:val="32"/>
          <w:szCs w:val="32"/>
          <w:highlight w:val="none"/>
          <w:u w:val="none"/>
          <w14:textFill>
            <w14:solidFill>
              <w14:schemeClr w14:val="tx1"/>
            </w14:solidFill>
          </w14:textFill>
        </w:rPr>
        <w:t>事前预防、事中复审、事后监督的风险防控体系</w:t>
      </w:r>
      <w:r>
        <w:rPr>
          <w:rFonts w:hint="eastAsia" w:ascii="仿宋_GB2312" w:hAnsi="仿宋_GB2312" w:eastAsia="仿宋_GB2312" w:cs="仿宋_GB2312"/>
          <w:bCs/>
          <w:color w:val="000000" w:themeColor="text1"/>
          <w:sz w:val="32"/>
          <w:szCs w:val="32"/>
          <w:highlight w:val="none"/>
          <w:u w:val="none"/>
          <w:lang w:eastAsia="zh-CN"/>
          <w14:textFill>
            <w14:solidFill>
              <w14:schemeClr w14:val="tx1"/>
            </w14:solidFill>
          </w14:textFill>
        </w:rPr>
        <w:t>，实行清单化管理</w:t>
      </w:r>
      <w:r>
        <w:rPr>
          <w:rFonts w:hint="eastAsia" w:ascii="仿宋_GB2312" w:hAnsi="仿宋_GB2312" w:eastAsia="仿宋_GB2312" w:cs="仿宋_GB2312"/>
          <w:color w:val="000000" w:themeColor="text1"/>
          <w:sz w:val="32"/>
          <w:szCs w:val="32"/>
          <w:highlight w:val="none"/>
          <w14:textFill>
            <w14:solidFill>
              <w14:schemeClr w14:val="tx1"/>
            </w14:solidFill>
          </w14:textFill>
        </w:rPr>
        <w:t>，强化等级风险分类防范，推进风险防范工作规范化、常态化。加大对重点高风险业务的检查力度，通过分级监督、动态监测有效降低基金风险。严格执行内控监督管理办法，抓好重点岗位和关键环节的监督，加强业务、财务、内控三道防线建设。强化社保基金多层次监督，完善多岗审核机制，推广关联业务内部流转机制，充分运用科技手段监控基金运行情况，消除风险隐患。</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加大社保基金监管力度。</w:t>
      </w:r>
      <w:r>
        <w:rPr>
          <w:rFonts w:hint="eastAsia" w:ascii="仿宋_GB2312" w:hAnsi="仿宋_GB2312" w:eastAsia="仿宋_GB2312" w:cs="仿宋_GB2312"/>
          <w:color w:val="000000" w:themeColor="text1"/>
          <w:sz w:val="32"/>
          <w:szCs w:val="32"/>
          <w:highlight w:val="none"/>
          <w14:textFill>
            <w14:solidFill>
              <w14:schemeClr w14:val="tx1"/>
            </w14:solidFill>
          </w14:textFill>
        </w:rPr>
        <w:t>积极开展社保稽核，加大对未按时足额缴纳社保费单位的催缴力度，提高基金收缴率。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开展社保基金管理专项整治</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建立多部门信息共享机制，</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严格</w:t>
      </w:r>
      <w:r>
        <w:rPr>
          <w:rFonts w:hint="eastAsia" w:ascii="仿宋_GB2312" w:hAnsi="仿宋_GB2312" w:eastAsia="仿宋_GB2312" w:cs="仿宋_GB2312"/>
          <w:color w:val="000000" w:themeColor="text1"/>
          <w:sz w:val="32"/>
          <w:szCs w:val="32"/>
          <w:highlight w:val="none"/>
          <w14:textFill>
            <w14:solidFill>
              <w14:schemeClr w14:val="tx1"/>
            </w14:solidFill>
          </w14:textFill>
        </w:rPr>
        <w:t>核实领取社保待遇人员资格，</w:t>
      </w:r>
      <w:r>
        <w:rPr>
          <w:rFonts w:hint="eastAsia" w:ascii="仿宋_GB2312" w:hAnsi="仿宋_GB2312" w:eastAsia="仿宋_GB2312" w:cs="仿宋_GB2312"/>
          <w:bCs/>
          <w:color w:val="000000" w:themeColor="text1"/>
          <w:sz w:val="32"/>
          <w:szCs w:val="32"/>
          <w:highlight w:val="none"/>
          <w:u w:val="none"/>
          <w:lang w:eastAsia="zh-CN"/>
          <w14:textFill>
            <w14:solidFill>
              <w14:schemeClr w14:val="tx1"/>
            </w14:solidFill>
          </w14:textFill>
        </w:rPr>
        <w:t>打通综合执法、社保稽核等多部门联合追缴多领社保待遇渠道，</w:t>
      </w:r>
      <w:r>
        <w:rPr>
          <w:rFonts w:hint="eastAsia" w:ascii="仿宋_GB2312" w:hAnsi="仿宋_GB2312" w:eastAsia="仿宋_GB2312" w:cs="仿宋_GB2312"/>
          <w:color w:val="000000" w:themeColor="text1"/>
          <w:sz w:val="32"/>
          <w:szCs w:val="32"/>
          <w:highlight w:val="none"/>
          <w14:textFill>
            <w14:solidFill>
              <w14:schemeClr w14:val="tx1"/>
            </w14:solidFill>
          </w14:textFill>
        </w:rPr>
        <w:t>防止社保基金流失。监督辖区工伤定点医疗机构履行服务协议，保障工伤职工合法权益。强化事后监督，定期检查以告知承诺方式办理社保补缴业务的参保单位，推进信用体系建设。</w:t>
      </w:r>
    </w:p>
    <w:bookmarkEnd w:id="40"/>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70" w:name="_Toc72154932"/>
      <w:bookmarkStart w:id="71" w:name="_Toc63782009"/>
      <w:bookmarkStart w:id="72" w:name="_Toc63782004"/>
      <w:bookmarkStart w:id="73" w:name="_Toc63782000"/>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三</w:t>
      </w:r>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增强</w:t>
      </w:r>
      <w:r>
        <w:rPr>
          <w:rFonts w:ascii="Times New Roman" w:hAnsi="Times New Roman" w:eastAsia="楷体_GB2312" w:cs="Times New Roman"/>
          <w:bCs/>
          <w:color w:val="000000" w:themeColor="text1"/>
          <w:sz w:val="32"/>
          <w:szCs w:val="32"/>
          <w:highlight w:val="none"/>
          <w14:textFill>
            <w14:solidFill>
              <w14:schemeClr w14:val="tx1"/>
            </w14:solidFill>
          </w14:textFill>
        </w:rPr>
        <w:t>人才</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工作专业化</w:t>
      </w:r>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释放</w:t>
      </w:r>
      <w:r>
        <w:rPr>
          <w:rFonts w:ascii="Times New Roman" w:hAnsi="Times New Roman" w:eastAsia="楷体_GB2312" w:cs="Times New Roman"/>
          <w:bCs/>
          <w:color w:val="000000" w:themeColor="text1"/>
          <w:sz w:val="32"/>
          <w:szCs w:val="32"/>
          <w:highlight w:val="none"/>
          <w14:textFill>
            <w14:solidFill>
              <w14:schemeClr w14:val="tx1"/>
            </w14:solidFill>
          </w14:textFill>
        </w:rPr>
        <w:t>人力资源效能</w:t>
      </w:r>
      <w:bookmarkEnd w:id="70"/>
    </w:p>
    <w:p>
      <w:pPr>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实施人才兴民工程，围绕区域经济转型升级、生态涵养发展需求，坚持人才开发和人事管理并重，打造一支专业化、高素质的人才队伍，提升人才引育、人才服务和人事管理的专业化水平，营造良好人才发展环境，激发人力资源创新活力，为全区经济社会高质量发展提供人才支撑。</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74" w:name="_Toc72154933"/>
      <w:r>
        <w:rPr>
          <w:rFonts w:hint="eastAsia" w:ascii="仿宋_GB2312" w:hAnsi="仿宋_GB2312" w:eastAsia="仿宋_GB2312" w:cs="仿宋_GB2312"/>
          <w:b/>
          <w:bCs/>
          <w:color w:val="000000" w:themeColor="text1"/>
          <w:sz w:val="32"/>
          <w:szCs w:val="32"/>
          <w:highlight w:val="none"/>
          <w14:textFill>
            <w14:solidFill>
              <w14:schemeClr w14:val="tx1"/>
            </w14:solidFill>
          </w14:textFill>
        </w:rPr>
        <w:t>1.拓宽引才引智渠道，优化人才发展环境</w:t>
      </w:r>
      <w:bookmarkEnd w:id="74"/>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创新人才引进方式。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依托京西聚智计划打造人才引育用留载体，突出“高精尖缺”，着力引进一批绿色发展、文旅体验、科创智能、医药健康、民生服务等领域的优秀人才。鼓励门头沟优质企业进校园、参加高校毕业生招聘会，积极组织大学生参加创新创业大赛等特色活动，充分利用“京尤码”在线服务功能，吸引高校毕业生在门头沟就业。推进柔性引才引智，围绕地区重点产业、重点区域和重点行业，探索挂职兼职、顾问指导等多种方式，灵活引进高层次人才。</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搭建聚智育才平台。</w:t>
      </w:r>
      <w:r>
        <w:rPr>
          <w:rFonts w:hint="eastAsia" w:ascii="仿宋_GB2312" w:hAnsi="仿宋_GB2312" w:eastAsia="仿宋_GB2312" w:cs="仿宋_GB2312"/>
          <w:color w:val="000000" w:themeColor="text1"/>
          <w:sz w:val="32"/>
          <w:szCs w:val="32"/>
          <w:highlight w:val="none"/>
          <w14:textFill>
            <w14:solidFill>
              <w14:schemeClr w14:val="tx1"/>
            </w14:solidFill>
          </w14:textFill>
        </w:rPr>
        <w:t>搭建校企合作平台，促成重点高校与区属企业开展产学研一体化实践，建设一批大学生实习实训基地、见习基地，吸引优秀高校毕业生留区发展。搭建人才交流平台，吸引专家学者走进门头沟，活跃区域人才交流氛围，营造区域人才发展良好生态。</w:t>
      </w:r>
    </w:p>
    <w:p>
      <w:pPr>
        <w:ind w:firstLine="643"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加强人才服务保障。</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完善非北京生源毕业生进京指标使用情况考核机制</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，指导用人单位科学合理使用指标，压实用人单位引留人才责任。</w:t>
      </w:r>
      <w:r>
        <w:rPr>
          <w:rFonts w:hint="eastAsia" w:ascii="仿宋_GB2312" w:hAnsi="仿宋_GB2312" w:eastAsia="仿宋_GB2312" w:cs="仿宋_GB2312"/>
          <w:color w:val="000000" w:themeColor="text1"/>
          <w:sz w:val="32"/>
          <w:szCs w:val="32"/>
          <w:highlight w:val="none"/>
          <w14:textFill>
            <w14:solidFill>
              <w14:schemeClr w14:val="tx1"/>
            </w14:solidFill>
          </w14:textFill>
        </w:rPr>
        <w:t>扎实推进积分落户工作，优化服务举措，切实做到人才引进来、留得住、用到位。整合就业、社保、人才等相关政策</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打造具有人力社保特色的人才服务包。按照“两区”建设要求，落实适当放宽外籍人才来京就业条件的政策，支持有需求的单位聘用高端急需紧缺外籍人才，开通外籍人员就业社保等“绿色服务通道”。培育专业化人才服务主体，发挥各类社会组织桥梁纽带作用，构建开放包容、高效便捷的人才服务体系。</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75" w:name="_Toc72154934"/>
      <w:r>
        <w:rPr>
          <w:rFonts w:hint="eastAsia" w:ascii="仿宋_GB2312" w:hAnsi="仿宋_GB2312" w:eastAsia="仿宋_GB2312" w:cs="仿宋_GB2312"/>
          <w:b/>
          <w:bCs/>
          <w:color w:val="000000" w:themeColor="text1"/>
          <w:sz w:val="32"/>
          <w:szCs w:val="32"/>
          <w:highlight w:val="none"/>
          <w14:textFill>
            <w14:solidFill>
              <w14:schemeClr w14:val="tx1"/>
            </w14:solidFill>
          </w14:textFill>
        </w:rPr>
        <w:t>2.培育壮大人才队伍，激发人才发展活力</w:t>
      </w:r>
      <w:bookmarkEnd w:id="75"/>
    </w:p>
    <w:p>
      <w:pPr>
        <w:ind w:firstLine="643" w:firstLineChars="200"/>
        <w:outlineLvl w:val="3"/>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高水平构建专业技术人才队伍。</w:t>
      </w:r>
      <w:r>
        <w:rPr>
          <w:rFonts w:hint="eastAsia" w:ascii="仿宋_GB2312" w:hAnsi="仿宋_GB2312" w:eastAsia="仿宋_GB2312" w:cs="仿宋_GB2312"/>
          <w:color w:val="000000" w:themeColor="text1"/>
          <w:sz w:val="32"/>
          <w:szCs w:val="32"/>
          <w:highlight w:val="none"/>
          <w14:textFill>
            <w14:solidFill>
              <w14:schemeClr w14:val="tx1"/>
            </w14:solidFill>
          </w14:textFill>
        </w:rPr>
        <w:t>贯彻落实教育、卫生、文化等系列职称制度改革实施办法，调整优化基层一线事业单位职称结构比例，提升中高级专业技术岗位占比，引导专业技术人才向急需紧缺的岗位集聚，优先满足疫情防控常态化下疾控人才发展需求。引导企业通过社会化职称评审、专</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业技术资格考试、高端领军人才职称评审直通车等方式，畅通人才职称晋升渠道。</w:t>
      </w:r>
      <w:r>
        <w:rPr>
          <w:rFonts w:hint="eastAsia" w:ascii="仿宋_GB2312" w:hAnsi="仿宋_GB2312" w:eastAsia="仿宋_GB2312" w:cs="仿宋_GB2312"/>
          <w:color w:val="000000" w:themeColor="text1"/>
          <w:sz w:val="32"/>
          <w:szCs w:val="32"/>
          <w:highlight w:val="none"/>
          <w14:textFill>
            <w14:solidFill>
              <w14:schemeClr w14:val="tx1"/>
            </w14:solidFill>
          </w14:textFill>
        </w:rPr>
        <w:t>支持企业、园区申请博士后科研工作站，鼓励招收外籍和留学归国博士进站研究。贯彻落实专技类职业资格培训监管工作。</w:t>
      </w:r>
    </w:p>
    <w:p>
      <w:pPr>
        <w:ind w:firstLine="643" w:firstLineChars="200"/>
        <w:outlineLvl w:val="3"/>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高标准打造高技能人才队伍。</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落实</w:t>
      </w:r>
      <w:r>
        <w:rPr>
          <w:rFonts w:hint="eastAsia" w:ascii="仿宋_GB2312" w:hAnsi="仿宋_GB2312" w:eastAsia="仿宋_GB2312" w:cs="仿宋_GB2312"/>
          <w:color w:val="000000" w:themeColor="text1"/>
          <w:kern w:val="0"/>
          <w:sz w:val="32"/>
          <w:szCs w:val="32"/>
          <w:highlight w:val="none"/>
          <w:shd w:val="clear" w:color="auto" w:fill="FFFFFF"/>
          <w14:textFill>
            <w14:solidFill>
              <w14:schemeClr w14:val="tx1"/>
            </w14:solidFill>
          </w14:textFill>
        </w:rPr>
        <w:t>“两区”建设要求，</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聚焦文旅体验、科创智能、医药健康等重点产业领域发展需求，</w:t>
      </w:r>
      <w:r>
        <w:rPr>
          <w:rFonts w:hint="eastAsia" w:ascii="仿宋_GB2312" w:hAnsi="仿宋_GB2312" w:eastAsia="仿宋_GB2312" w:cs="仿宋_GB2312"/>
          <w:color w:val="000000" w:themeColor="text1"/>
          <w:sz w:val="32"/>
          <w:szCs w:val="32"/>
          <w:highlight w:val="none"/>
          <w14:textFill>
            <w14:solidFill>
              <w14:schemeClr w14:val="tx1"/>
            </w14:solidFill>
          </w14:textFill>
        </w:rPr>
        <w:t>创新高技能人才研修培训机制，</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造就一批技能大师和急需紧缺的高技能人才。健全职业资格评价、职业技能等级认定等多元化评价方式，全面推进民宿、家政、养老等行业开展技能人才评价。促进高技能人才与专业技术人才职业发展贯通，培养更多、更高质量的复合型技能人才。完善多层次技能人才选拔机制，</w:t>
      </w:r>
      <w:r>
        <w:rPr>
          <w:rFonts w:hint="eastAsia" w:ascii="仿宋_GB2312" w:hAnsi="仿宋_GB2312" w:eastAsia="仿宋_GB2312" w:cs="仿宋_GB2312"/>
          <w:color w:val="000000" w:themeColor="text1"/>
          <w:sz w:val="32"/>
          <w:szCs w:val="32"/>
          <w:highlight w:val="none"/>
          <w14:textFill>
            <w14:solidFill>
              <w14:schemeClr w14:val="tx1"/>
            </w14:solidFill>
          </w14:textFill>
        </w:rPr>
        <w:t>发挥高技能人才引领作用，努力创建技能大师工作室。</w:t>
      </w:r>
    </w:p>
    <w:p>
      <w:pPr>
        <w:ind w:firstLine="643" w:firstLineChars="200"/>
        <w:outlineLvl w:val="3"/>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前瞻性布局创新型人才队伍。</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围绕“两区”建设和“五新”政策要求，顺应人工智能、移动互联网、大数据等新一代信息技术发展趋势，结合全区高精尖产业、精品民宿等发展需求，大力培育新职业、新工种，打造适应新业态发展的创新型人才队伍。</w:t>
      </w:r>
      <w:r>
        <w:rPr>
          <w:rFonts w:hint="eastAsia" w:ascii="仿宋_GB2312" w:hAnsi="仿宋_GB2312" w:eastAsia="仿宋_GB2312" w:cs="仿宋_GB2312"/>
          <w:color w:val="000000" w:themeColor="text1"/>
          <w:sz w:val="32"/>
          <w:szCs w:val="32"/>
          <w:highlight w:val="none"/>
          <w14:textFill>
            <w14:solidFill>
              <w14:schemeClr w14:val="tx1"/>
            </w14:solidFill>
          </w14:textFill>
        </w:rPr>
        <w:t>支持具有境外高水平职业资格的外籍人才备案后，为门头沟区发展提供服务。</w:t>
      </w:r>
    </w:p>
    <w:p>
      <w:pPr>
        <w:ind w:firstLine="643" w:firstLineChars="200"/>
        <w:outlineLvl w:val="2"/>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76" w:name="_Toc72154935"/>
      <w:r>
        <w:rPr>
          <w:rFonts w:hint="eastAsia" w:ascii="仿宋_GB2312" w:hAnsi="仿宋_GB2312" w:eastAsia="仿宋_GB2312" w:cs="仿宋_GB2312"/>
          <w:b/>
          <w:bCs/>
          <w:color w:val="000000" w:themeColor="text1"/>
          <w:sz w:val="32"/>
          <w:szCs w:val="32"/>
          <w:highlight w:val="none"/>
          <w14:textFill>
            <w14:solidFill>
              <w14:schemeClr w14:val="tx1"/>
            </w14:solidFill>
          </w14:textFill>
        </w:rPr>
        <w:t>3.深化人事制度改革，提高人才管理水平</w:t>
      </w:r>
      <w:bookmarkEnd w:id="76"/>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完善人事管理制度。</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优化事业单位岗位设置，</w:t>
      </w:r>
      <w:r>
        <w:rPr>
          <w:rFonts w:hint="eastAsia" w:ascii="仿宋_GB2312" w:hAnsi="仿宋_GB2312" w:eastAsia="仿宋_GB2312" w:cs="仿宋_GB2312"/>
          <w:color w:val="000000" w:themeColor="text1"/>
          <w:sz w:val="32"/>
          <w:szCs w:val="32"/>
          <w:highlight w:val="none"/>
          <w14:textFill>
            <w14:solidFill>
              <w14:schemeClr w14:val="tx1"/>
            </w14:solidFill>
          </w14:textFill>
        </w:rPr>
        <w:t>建立健全岗位结构比例动态调整机制，按照市局统一要求适时推行事业单位职员等级晋升机制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会同组织部做好乡镇街道事业单位管理岗位职员等级晋升工作</w:t>
      </w:r>
      <w:r>
        <w:rPr>
          <w:rFonts w:hint="eastAsia" w:ascii="仿宋_GB2312" w:hAnsi="仿宋_GB2312" w:eastAsia="仿宋_GB2312" w:cs="仿宋_GB2312"/>
          <w:color w:val="000000" w:themeColor="text1"/>
          <w:sz w:val="32"/>
          <w:szCs w:val="32"/>
          <w:highlight w:val="none"/>
          <w14:textFill>
            <w14:solidFill>
              <w14:schemeClr w14:val="tx1"/>
            </w14:solidFill>
          </w14:textFill>
        </w:rPr>
        <w:t>。严把事业单位人员入口关，优先满足重点行业人才需求，进一步提高事业单位公开招聘学历要求，持续加强年轻干部队伍建设。严格执行公开招聘政策规定，规范公开招聘工作程序，优化公开招聘流程和组织方式，强化纪检监察部门的参与和监督，打造“阳光招聘”品牌。健全综合考核制度，加大考核结果运用力度，形成事业单位人员竞争择优、能上能下的用人氛围。依托全市事业单位人事综合管理信息数据库，打造动态高效、科学规范的业务全链条体系。</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加大人才培养交流力度。</w:t>
      </w:r>
      <w:r>
        <w:rPr>
          <w:rFonts w:hint="eastAsia" w:ascii="仿宋_GB2312" w:hAnsi="仿宋_GB2312" w:eastAsia="仿宋_GB2312" w:cs="仿宋_GB2312"/>
          <w:color w:val="000000" w:themeColor="text1"/>
          <w:sz w:val="32"/>
          <w:szCs w:val="32"/>
          <w:highlight w:val="none"/>
          <w14:textFill>
            <w14:solidFill>
              <w14:schemeClr w14:val="tx1"/>
            </w14:solidFill>
          </w14:textFill>
        </w:rPr>
        <w:t>完善事业单位内部人员转岗机制，畅通事业单位人员内部流动渠道，激发事业单位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发展的</w:t>
      </w:r>
      <w:r>
        <w:rPr>
          <w:rFonts w:hint="eastAsia" w:ascii="仿宋_GB2312" w:hAnsi="仿宋_GB2312" w:eastAsia="仿宋_GB2312" w:cs="仿宋_GB2312"/>
          <w:color w:val="000000" w:themeColor="text1"/>
          <w:sz w:val="32"/>
          <w:szCs w:val="32"/>
          <w:highlight w:val="none"/>
          <w14:textFill>
            <w14:solidFill>
              <w14:schemeClr w14:val="tx1"/>
            </w14:solidFill>
          </w14:textFill>
        </w:rPr>
        <w:t>内生动力。探索事业单位与党政机关、基层镇街、国有企业干部队伍的交流培养机制，注重选派优秀干部和专业技术人员参与挂职、援派工作和完成急难险重任务，通过思想淬炼、政治历练、实践锻炼和专业训练，不断提升事业单位人员推动地区高质量发展的能力。</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落实收入分配政策。</w:t>
      </w:r>
      <w:r>
        <w:rPr>
          <w:rFonts w:hint="eastAsia" w:ascii="仿宋_GB2312" w:hAnsi="仿宋_GB2312" w:eastAsia="仿宋_GB2312" w:cs="仿宋_GB2312"/>
          <w:color w:val="000000" w:themeColor="text1"/>
          <w:sz w:val="32"/>
          <w:szCs w:val="32"/>
          <w:highlight w:val="none"/>
          <w14:textFill>
            <w14:solidFill>
              <w14:schemeClr w14:val="tx1"/>
            </w14:solidFill>
          </w14:textFill>
        </w:rPr>
        <w:t>严格贯彻落实机关事业单位基本工资标准正常调整及津贴补贴政策，确保及时准确兑现。完善事业单位岗位绩效工资制度，落实义务教育教师待遇保障政策；深化公立医院、公共卫生机构薪酬制度改革，落实疫情防控一线人员各项待遇保障及基层医疗机构奖励激励政策，逐步建立符合医疗行业特点的薪酬体系；健全其他事业单位绩效工资动态调整机制，合理确定绩效工资水平。</w:t>
      </w:r>
    </w:p>
    <w:p>
      <w:pPr>
        <w:ind w:firstLine="643" w:firstLineChars="200"/>
        <w:outlineLvl w:val="3"/>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规范表彰奖励工作。</w:t>
      </w:r>
      <w:r>
        <w:rPr>
          <w:rFonts w:hint="eastAsia" w:ascii="仿宋_GB2312" w:hAnsi="仿宋_GB2312" w:eastAsia="仿宋_GB2312" w:cs="仿宋_GB2312"/>
          <w:color w:val="000000" w:themeColor="text1"/>
          <w:sz w:val="32"/>
          <w:szCs w:val="32"/>
          <w:highlight w:val="none"/>
          <w14:textFill>
            <w14:solidFill>
              <w14:schemeClr w14:val="tx1"/>
            </w14:solidFill>
          </w14:textFill>
        </w:rPr>
        <w:t>做好评比达标表彰、创建示范活动等工作的政策指导、统筹协调、审核管理和监督检查。进一步促进表彰和创建工作法制化、规范化和科学化。</w:t>
      </w:r>
    </w:p>
    <w:p>
      <w:pPr>
        <w:ind w:firstLine="640" w:firstLineChars="200"/>
        <w:outlineLvl w:val="1"/>
        <w:rPr>
          <w:rFonts w:ascii="楷体_GB2312" w:hAnsi="黑体" w:eastAsia="楷体_GB2312"/>
          <w:bCs/>
          <w:color w:val="000000" w:themeColor="text1"/>
          <w:sz w:val="32"/>
          <w:szCs w:val="32"/>
          <w:highlight w:val="none"/>
          <w14:textFill>
            <w14:solidFill>
              <w14:schemeClr w14:val="tx1"/>
            </w14:solidFill>
          </w14:textFill>
        </w:rPr>
      </w:pPr>
      <w:bookmarkStart w:id="77" w:name="_Toc72154936"/>
      <w:r>
        <w:rPr>
          <w:rFonts w:hint="eastAsia" w:ascii="楷体_GB2312" w:hAnsi="黑体" w:eastAsia="楷体_GB2312"/>
          <w:bCs/>
          <w:color w:val="000000" w:themeColor="text1"/>
          <w:sz w:val="32"/>
          <w:szCs w:val="32"/>
          <w:highlight w:val="none"/>
          <w14:textFill>
            <w14:solidFill>
              <w14:schemeClr w14:val="tx1"/>
            </w14:solidFill>
          </w14:textFill>
        </w:rPr>
        <w:t>（四）促进劳动关系法治化，维护社会和谐稳定</w:t>
      </w:r>
      <w:bookmarkEnd w:id="77"/>
    </w:p>
    <w:p>
      <w:pPr>
        <w:ind w:firstLine="640" w:firstLineChars="200"/>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实施和谐安民工程，健全多方联动的劳动关系协调机制，运用法治思维和法治方式，构建起预警防范、监察处置、调解仲裁等各环节有机衔接的劳动关系治理体系，加大劳动关系基层治理力度，实现劳动关系的依法治理、系统治理、综合治理、源头治理，精心维护和谐稳定的劳动关系。</w:t>
      </w:r>
    </w:p>
    <w:p>
      <w:pPr>
        <w:ind w:firstLine="643" w:firstLineChars="200"/>
        <w:outlineLvl w:val="2"/>
        <w:rPr>
          <w:rFonts w:ascii="仿宋_GB2312" w:eastAsia="仿宋_GB2312"/>
          <w:b/>
          <w:color w:val="000000" w:themeColor="text1"/>
          <w:sz w:val="32"/>
          <w:szCs w:val="32"/>
          <w:highlight w:val="none"/>
          <w14:textFill>
            <w14:solidFill>
              <w14:schemeClr w14:val="tx1"/>
            </w14:solidFill>
          </w14:textFill>
        </w:rPr>
      </w:pPr>
      <w:bookmarkStart w:id="78" w:name="_Toc72154937"/>
      <w:r>
        <w:rPr>
          <w:rFonts w:hint="eastAsia" w:ascii="仿宋_GB2312" w:eastAsia="仿宋_GB2312"/>
          <w:b/>
          <w:color w:val="000000" w:themeColor="text1"/>
          <w:sz w:val="32"/>
          <w:szCs w:val="32"/>
          <w:highlight w:val="none"/>
          <w14:textFill>
            <w14:solidFill>
              <w14:schemeClr w14:val="tx1"/>
            </w14:solidFill>
          </w14:textFill>
        </w:rPr>
        <w:t>1.健全协调机制，深化源头治理</w:t>
      </w:r>
      <w:bookmarkEnd w:id="78"/>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健全劳动关系协调联动机制。</w:t>
      </w:r>
      <w:r>
        <w:rPr>
          <w:rFonts w:hint="eastAsia" w:ascii="仿宋_GB2312" w:eastAsia="仿宋_GB2312"/>
          <w:color w:val="000000" w:themeColor="text1"/>
          <w:sz w:val="32"/>
          <w:szCs w:val="32"/>
          <w:highlight w:val="none"/>
          <w14:textFill>
            <w14:solidFill>
              <w14:schemeClr w14:val="tx1"/>
            </w14:solidFill>
          </w14:textFill>
        </w:rPr>
        <w:t>加强区级协调劳动关系三方机制建设，巩固集体合同和工资集体协议覆盖面，维护企业和职工合法权益。联动区司法局等部门，探索建立“三方多家”新模式，</w:t>
      </w:r>
      <w:r>
        <w:rPr>
          <w:rFonts w:hint="eastAsia" w:ascii="仿宋_GB2312" w:hAnsi="仿宋_GB2312" w:eastAsia="仿宋_GB2312" w:cs="仿宋_GB2312"/>
          <w:color w:val="000000" w:themeColor="text1"/>
          <w:sz w:val="32"/>
          <w:szCs w:val="32"/>
          <w:highlight w:val="none"/>
          <w14:textFill>
            <w14:solidFill>
              <w14:schemeClr w14:val="tx1"/>
            </w14:solidFill>
          </w14:textFill>
        </w:rPr>
        <w:t>联防联控、</w:t>
      </w:r>
      <w:r>
        <w:rPr>
          <w:rFonts w:ascii="仿宋_GB2312" w:hAnsi="仿宋_GB2312" w:eastAsia="仿宋_GB2312" w:cs="仿宋_GB2312"/>
          <w:color w:val="000000" w:themeColor="text1"/>
          <w:sz w:val="32"/>
          <w:szCs w:val="32"/>
          <w:highlight w:val="none"/>
          <w14:textFill>
            <w14:solidFill>
              <w14:schemeClr w14:val="tx1"/>
            </w14:solidFill>
          </w14:textFill>
        </w:rPr>
        <w:t>齐抓共管，</w:t>
      </w:r>
      <w:r>
        <w:rPr>
          <w:rFonts w:hint="eastAsia" w:ascii="仿宋_GB2312" w:eastAsia="仿宋_GB2312"/>
          <w:color w:val="000000" w:themeColor="text1"/>
          <w:sz w:val="32"/>
          <w:szCs w:val="32"/>
          <w:highlight w:val="none"/>
          <w14:textFill>
            <w14:solidFill>
              <w14:schemeClr w14:val="tx1"/>
            </w14:solidFill>
          </w14:textFill>
        </w:rPr>
        <w:t>形成多措并举、执行有力的劳动关系协调机制。</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hAnsi="宋体" w:eastAsia="仿宋_GB2312"/>
          <w:b/>
          <w:color w:val="000000" w:themeColor="text1"/>
          <w:kern w:val="0"/>
          <w:sz w:val="32"/>
          <w:szCs w:val="32"/>
          <w:highlight w:val="none"/>
          <w14:textFill>
            <w14:solidFill>
              <w14:schemeClr w14:val="tx1"/>
            </w14:solidFill>
          </w14:textFill>
        </w:rPr>
        <w:t>建立劳动纠纷多元化解机制。</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发挥“先行调解”作用，创建</w:t>
      </w:r>
      <w:r>
        <w:rPr>
          <w:rFonts w:hint="eastAsia" w:ascii="仿宋_GB2312" w:hAnsi="仿宋_GB2312" w:eastAsia="仿宋_GB2312" w:cs="仿宋_GB2312"/>
          <w:color w:val="000000" w:themeColor="text1"/>
          <w:sz w:val="32"/>
          <w:szCs w:val="32"/>
          <w:highlight w:val="none"/>
          <w14:textFill>
            <w14:solidFill>
              <w14:schemeClr w14:val="tx1"/>
            </w14:solidFill>
          </w14:textFill>
        </w:rPr>
        <w:t>“1+1+X”的多元化解机制</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，设立劳动纠纷调解专班，形成劳资纠纷“全员参与化解、流程有效衔接、矛盾分级分流”的新格局，不断</w:t>
      </w:r>
      <w:r>
        <w:rPr>
          <w:rFonts w:hint="eastAsia" w:ascii="仿宋_GB2312" w:hAnsi="仿宋_GB2312" w:eastAsia="仿宋_GB2312" w:cs="仿宋_GB2312"/>
          <w:color w:val="000000" w:themeColor="text1"/>
          <w:sz w:val="32"/>
          <w:szCs w:val="32"/>
          <w:highlight w:val="none"/>
          <w14:textFill>
            <w14:solidFill>
              <w14:schemeClr w14:val="tx1"/>
            </w14:solidFill>
          </w14:textFill>
        </w:rPr>
        <w:t>优化法治化营商环境，维护劳动</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关系和谐稳定。</w:t>
      </w:r>
    </w:p>
    <w:p>
      <w:pPr>
        <w:ind w:firstLine="643" w:firstLineChars="200"/>
        <w:outlineLvl w:val="2"/>
        <w:rPr>
          <w:rFonts w:ascii="仿宋_GB2312" w:eastAsia="仿宋_GB2312"/>
          <w:b/>
          <w:color w:val="000000" w:themeColor="text1"/>
          <w:sz w:val="32"/>
          <w:szCs w:val="32"/>
          <w:highlight w:val="none"/>
          <w14:textFill>
            <w14:solidFill>
              <w14:schemeClr w14:val="tx1"/>
            </w14:solidFill>
          </w14:textFill>
        </w:rPr>
      </w:pPr>
      <w:bookmarkStart w:id="79" w:name="_Toc72154938"/>
      <w:r>
        <w:rPr>
          <w:rFonts w:hint="eastAsia" w:ascii="仿宋_GB2312" w:eastAsia="仿宋_GB2312"/>
          <w:b/>
          <w:color w:val="000000" w:themeColor="text1"/>
          <w:sz w:val="32"/>
          <w:szCs w:val="32"/>
          <w:highlight w:val="none"/>
          <w14:textFill>
            <w14:solidFill>
              <w14:schemeClr w14:val="tx1"/>
            </w14:solidFill>
          </w14:textFill>
        </w:rPr>
        <w:t>2.注重预警防范，消除风险隐患</w:t>
      </w:r>
      <w:bookmarkEnd w:id="79"/>
    </w:p>
    <w:p>
      <w:pPr>
        <w:keepNext w:val="0"/>
        <w:keepLines w:val="0"/>
        <w:pageBreakBefore w:val="0"/>
        <w:widowControl w:val="0"/>
        <w:kinsoku/>
        <w:wordWrap/>
        <w:overflowPunct/>
        <w:topLinePunct w:val="0"/>
        <w:autoSpaceDE/>
        <w:autoSpaceDN/>
        <w:bidi w:val="0"/>
        <w:adjustRightInd/>
        <w:snapToGrid/>
        <w:ind w:firstLine="643" w:firstLineChars="200"/>
        <w:textAlignment w:val="auto"/>
        <w:outlineLvl w:val="9"/>
        <w:rPr>
          <w:rFonts w:asci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强化劳动关系风险防范。</w:t>
      </w:r>
      <w:r>
        <w:rPr>
          <w:rFonts w:hint="eastAsia" w:ascii="仿宋_GB2312" w:hAnsi="仿宋_GB2312" w:eastAsia="仿宋_GB2312" w:cs="仿宋_GB2312"/>
          <w:color w:val="000000" w:themeColor="text1"/>
          <w:sz w:val="32"/>
          <w:szCs w:val="32"/>
          <w:highlight w:val="none"/>
          <w14:textFill>
            <w14:solidFill>
              <w14:schemeClr w14:val="tx1"/>
            </w14:solidFill>
          </w14:textFill>
        </w:rPr>
        <w:t>经常性开展信访投诉数据分析研判，抓好劳资矛盾纠纷基层化解和初信初访工作，畅通市民服务热线、信访等群众诉求解决渠道。引导企业推进电子劳动合同体系建设，规范劳动合同管理。依托劳动关系风险监测预警平台和欠薪预警平台，对风险企业进行分级预警和分类处置，有效应对规模裁员风险。健全部门协调联动处置机制，稳妥化解重大、突发、群体性事件矛盾隐患。</w:t>
      </w:r>
    </w:p>
    <w:p>
      <w:pPr>
        <w:pStyle w:val="6"/>
        <w:ind w:firstLine="643"/>
        <w:rPr>
          <w:rFonts w:asci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加强</w:t>
      </w:r>
      <w:r>
        <w:rPr>
          <w:rFonts w:hint="eastAsia" w:ascii="仿宋_GB2312" w:eastAsia="仿宋_GB2312"/>
          <w:b/>
          <w:color w:val="000000" w:themeColor="text1"/>
          <w:sz w:val="32"/>
          <w:szCs w:val="32"/>
          <w:highlight w:val="none"/>
          <w14:textFill>
            <w14:solidFill>
              <w14:schemeClr w14:val="tx1"/>
            </w14:solidFill>
          </w14:textFill>
        </w:rPr>
        <w:t>特殊用工的监督管理。</w:t>
      </w:r>
      <w:r>
        <w:rPr>
          <w:rFonts w:hint="eastAsia" w:ascii="仿宋_GB2312" w:eastAsia="仿宋_GB2312"/>
          <w:color w:val="000000" w:themeColor="text1"/>
          <w:sz w:val="32"/>
          <w:szCs w:val="32"/>
          <w:highlight w:val="none"/>
          <w14:textFill>
            <w14:solidFill>
              <w14:schemeClr w14:val="tx1"/>
            </w14:solidFill>
          </w14:textFill>
        </w:rPr>
        <w:t>针对共享用工等新用工形式，结合区域特点，</w:t>
      </w:r>
      <w:r>
        <w:rPr>
          <w:rFonts w:hint="eastAsia" w:ascii="仿宋_GB2312" w:hAnsi="Times New Roman" w:eastAsia="仿宋_GB2312" w:cs="Times New Roman"/>
          <w:b w:val="0"/>
          <w:bCs w:val="0"/>
          <w:color w:val="000000" w:themeColor="text1"/>
          <w:sz w:val="32"/>
          <w:szCs w:val="32"/>
          <w:highlight w:val="none"/>
          <w:lang w:eastAsia="zh-CN"/>
          <w14:textFill>
            <w14:solidFill>
              <w14:schemeClr w14:val="tx1"/>
            </w14:solidFill>
          </w14:textFill>
        </w:rPr>
        <w:t>建立“务工人员之家”，</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印发劳动维权暖心卡和就业帮扶连心卡，</w:t>
      </w:r>
      <w:r>
        <w:rPr>
          <w:rFonts w:hint="eastAsia" w:ascii="仿宋_GB2312" w:eastAsia="仿宋_GB2312"/>
          <w:color w:val="000000" w:themeColor="text1"/>
          <w:sz w:val="32"/>
          <w:szCs w:val="32"/>
          <w:highlight w:val="none"/>
          <w14:textFill>
            <w14:solidFill>
              <w14:schemeClr w14:val="tx1"/>
            </w14:solidFill>
          </w14:textFill>
        </w:rPr>
        <w:t>保障新就业形态劳动者权益。落实“两区”建设对特殊工时、劳务派遣用工、非标准就业的包容审慎管理要求，积极保持与“两区”企业的</w:t>
      </w:r>
      <w:r>
        <w:rPr>
          <w:rFonts w:ascii="仿宋_GB2312" w:eastAsia="仿宋_GB2312"/>
          <w:color w:val="000000" w:themeColor="text1"/>
          <w:sz w:val="32"/>
          <w:szCs w:val="32"/>
          <w:highlight w:val="none"/>
          <w14:textFill>
            <w14:solidFill>
              <w14:schemeClr w14:val="tx1"/>
            </w14:solidFill>
          </w14:textFill>
        </w:rPr>
        <w:t>沟通协调</w:t>
      </w:r>
      <w:r>
        <w:rPr>
          <w:rFonts w:hint="eastAsia" w:ascii="仿宋_GB2312" w:eastAsia="仿宋_GB2312"/>
          <w:color w:val="000000" w:themeColor="text1"/>
          <w:sz w:val="32"/>
          <w:szCs w:val="32"/>
          <w:highlight w:val="none"/>
          <w14:textFill>
            <w14:solidFill>
              <w14:schemeClr w14:val="tx1"/>
            </w14:solidFill>
          </w14:textFill>
        </w:rPr>
        <w:t>，防范特殊用工</w:t>
      </w:r>
      <w:r>
        <w:rPr>
          <w:rFonts w:ascii="仿宋_GB2312" w:eastAsia="仿宋_GB2312"/>
          <w:color w:val="000000" w:themeColor="text1"/>
          <w:sz w:val="32"/>
          <w:szCs w:val="32"/>
          <w:highlight w:val="none"/>
          <w14:textFill>
            <w14:solidFill>
              <w14:schemeClr w14:val="tx1"/>
            </w14:solidFill>
          </w14:textFill>
        </w:rPr>
        <w:t>劳动争议</w:t>
      </w:r>
      <w:r>
        <w:rPr>
          <w:rFonts w:hint="eastAsia" w:ascii="仿宋_GB2312" w:eastAsia="仿宋_GB2312"/>
          <w:color w:val="000000" w:themeColor="text1"/>
          <w:sz w:val="32"/>
          <w:szCs w:val="32"/>
          <w:highlight w:val="none"/>
          <w14:textFill>
            <w14:solidFill>
              <w14:schemeClr w14:val="tx1"/>
            </w14:solidFill>
          </w14:textFill>
        </w:rPr>
        <w:t>风险。</w:t>
      </w:r>
    </w:p>
    <w:p>
      <w:pPr>
        <w:ind w:firstLine="643" w:firstLineChars="200"/>
        <w:outlineLvl w:val="2"/>
        <w:rPr>
          <w:rFonts w:ascii="仿宋_GB2312" w:eastAsia="仿宋_GB2312"/>
          <w:b/>
          <w:color w:val="000000" w:themeColor="text1"/>
          <w:sz w:val="32"/>
          <w:szCs w:val="32"/>
          <w:highlight w:val="none"/>
          <w14:textFill>
            <w14:solidFill>
              <w14:schemeClr w14:val="tx1"/>
            </w14:solidFill>
          </w14:textFill>
        </w:rPr>
      </w:pPr>
      <w:bookmarkStart w:id="80" w:name="_Toc72154939"/>
      <w:r>
        <w:rPr>
          <w:rFonts w:hint="eastAsia" w:ascii="仿宋_GB2312" w:eastAsia="仿宋_GB2312"/>
          <w:b/>
          <w:color w:val="000000" w:themeColor="text1"/>
          <w:sz w:val="32"/>
          <w:szCs w:val="32"/>
          <w:highlight w:val="none"/>
          <w14:textFill>
            <w14:solidFill>
              <w14:schemeClr w14:val="tx1"/>
            </w14:solidFill>
          </w14:textFill>
        </w:rPr>
        <w:t>3.强化执法处置，规范劳动用工</w:t>
      </w:r>
      <w:bookmarkEnd w:id="80"/>
    </w:p>
    <w:p>
      <w:pPr>
        <w:pStyle w:val="6"/>
        <w:ind w:firstLine="643"/>
        <w:rPr>
          <w:rFonts w:ascii="仿宋_GB2312" w:eastAsia="仿宋_GB2312"/>
          <w:bCs/>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加大根治欠薪工作力度。</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全面贯彻《保障农民工工资支付条例》，深入落实《关于健全完善保障农民工工资支付制度机制建设意见》，推行“三全”管理模式</w:t>
      </w:r>
      <w:r>
        <w:rPr>
          <w:rFonts w:hint="eastAsia" w:ascii="仿宋_GB2312" w:eastAsia="仿宋_GB2312"/>
          <w:bCs/>
          <w:color w:val="000000" w:themeColor="text1"/>
          <w:sz w:val="32"/>
          <w:szCs w:val="32"/>
          <w:highlight w:val="none"/>
          <w14:textFill>
            <w14:solidFill>
              <w14:schemeClr w14:val="tx1"/>
            </w14:solidFill>
          </w14:textFill>
        </w:rPr>
        <w:t>，</w:t>
      </w:r>
      <w:r>
        <w:rPr>
          <w:rFonts w:hint="eastAsia" w:ascii="仿宋_GB2312" w:hAnsi="仿宋_GB2312" w:eastAsia="仿宋_GB2312"/>
          <w:bCs/>
          <w:color w:val="000000" w:themeColor="text1"/>
          <w:sz w:val="32"/>
          <w:highlight w:val="none"/>
          <w:lang w:val="zh-CN"/>
          <w14:textFill>
            <w14:solidFill>
              <w14:schemeClr w14:val="tx1"/>
            </w14:solidFill>
          </w14:textFill>
        </w:rPr>
        <w:t>建立区、镇街两级联合监管机制，</w:t>
      </w:r>
      <w:r>
        <w:rPr>
          <w:rFonts w:hint="eastAsia" w:ascii="仿宋_GB2312" w:hAnsi="仿宋_GB2312" w:eastAsia="仿宋_GB2312" w:cs="仿宋_GB2312"/>
          <w:bCs/>
          <w:color w:val="000000" w:themeColor="text1"/>
          <w:sz w:val="32"/>
          <w:szCs w:val="32"/>
          <w:highlight w:val="none"/>
          <w:shd w:val="clear" w:color="auto" w:fill="FFFFFF"/>
          <w14:textFill>
            <w14:solidFill>
              <w14:schemeClr w14:val="tx1"/>
            </w14:solidFill>
          </w14:textFill>
        </w:rPr>
        <w:t>维护农民工劳动报酬权益</w:t>
      </w:r>
      <w:r>
        <w:rPr>
          <w:rFonts w:hint="eastAsia" w:ascii="仿宋_GB2312" w:eastAsia="仿宋_GB2312"/>
          <w:bCs/>
          <w:color w:val="000000" w:themeColor="text1"/>
          <w:sz w:val="32"/>
          <w:szCs w:val="32"/>
          <w:highlight w:val="none"/>
          <w14:textFill>
            <w14:solidFill>
              <w14:schemeClr w14:val="tx1"/>
            </w14:solidFill>
          </w14:textFill>
        </w:rPr>
        <w:t>。在国道109新线高速公路工程率先创建“党建引领、根治欠薪”品牌工地，设立</w:t>
      </w:r>
      <w:r>
        <w:rPr>
          <w:rFonts w:hint="eastAsia" w:ascii="仿宋_GB2312" w:hAnsi="仿宋_GB2312" w:eastAsia="仿宋_GB2312" w:cs="仿宋_GB2312"/>
          <w:color w:val="000000" w:themeColor="text1"/>
          <w:sz w:val="32"/>
          <w:szCs w:val="40"/>
          <w:highlight w:val="none"/>
          <w14:textFill>
            <w14:solidFill>
              <w14:schemeClr w14:val="tx1"/>
            </w14:solidFill>
          </w14:textFill>
        </w:rPr>
        <w:t>劳务人员权益保障示范点，</w:t>
      </w:r>
      <w:r>
        <w:rPr>
          <w:rFonts w:hint="eastAsia" w:ascii="仿宋_GB2312" w:hAnsi="仿宋_GB2312" w:eastAsia="仿宋_GB2312"/>
          <w:bCs/>
          <w:color w:val="000000" w:themeColor="text1"/>
          <w:sz w:val="32"/>
          <w:highlight w:val="none"/>
          <w:lang w:val="zh-CN"/>
          <w14:textFill>
            <w14:solidFill>
              <w14:schemeClr w14:val="tx1"/>
            </w14:solidFill>
          </w14:textFill>
        </w:rPr>
        <w:t>强化</w:t>
      </w:r>
      <w:r>
        <w:rPr>
          <w:rFonts w:hint="eastAsia" w:ascii="仿宋_GB2312" w:eastAsia="仿宋_GB2312"/>
          <w:bCs/>
          <w:color w:val="000000" w:themeColor="text1"/>
          <w:sz w:val="32"/>
          <w:szCs w:val="32"/>
          <w:highlight w:val="none"/>
          <w14:textFill>
            <w14:solidFill>
              <w14:schemeClr w14:val="tx1"/>
            </w14:solidFill>
          </w14:textFill>
        </w:rPr>
        <w:t>主动治理和未诉先办，形成政府、企业、劳动者共治欠薪新格局。</w:t>
      </w:r>
    </w:p>
    <w:p>
      <w:pPr>
        <w:pStyle w:val="6"/>
        <w:ind w:firstLine="643"/>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加强重点领域联合执法。</w:t>
      </w:r>
      <w:r>
        <w:rPr>
          <w:rFonts w:hint="eastAsia" w:ascii="仿宋_GB2312" w:eastAsia="仿宋_GB2312"/>
          <w:bCs/>
          <w:color w:val="000000" w:themeColor="text1"/>
          <w:sz w:val="32"/>
          <w:szCs w:val="32"/>
          <w:highlight w:val="none"/>
          <w14:textFill>
            <w14:solidFill>
              <w14:schemeClr w14:val="tx1"/>
            </w14:solidFill>
          </w14:textFill>
        </w:rPr>
        <w:t>充分发挥区根治拖欠农民工工资工作协调小组作用，开展建筑领域专项检查治理、专场培训宣传，</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营造不敢欠、不想欠、不能欠的社会氛</w:t>
      </w:r>
      <w:r>
        <w:rPr>
          <w:rFonts w:hint="eastAsia" w:ascii="仿宋_GB2312" w:eastAsia="仿宋_GB2312"/>
          <w:bCs/>
          <w:color w:val="000000" w:themeColor="text1"/>
          <w:sz w:val="32"/>
          <w:szCs w:val="32"/>
          <w:highlight w:val="none"/>
          <w14:textFill>
            <w14:solidFill>
              <w14:schemeClr w14:val="tx1"/>
            </w14:solidFill>
          </w14:textFill>
        </w:rPr>
        <w:t>围。积极开展企业劳动保障守法诚信等级评价管理，督促企业履行守法诚信义务。结合双随机抽查和预警排查结果，加大对欠薪违法行为的联合惩戒力度。</w:t>
      </w:r>
    </w:p>
    <w:p>
      <w:pPr>
        <w:ind w:firstLine="643" w:firstLineChars="200"/>
        <w:outlineLvl w:val="2"/>
        <w:rPr>
          <w:rFonts w:ascii="仿宋_GB2312" w:eastAsia="仿宋_GB2312"/>
          <w:b/>
          <w:color w:val="000000" w:themeColor="text1"/>
          <w:sz w:val="32"/>
          <w:szCs w:val="32"/>
          <w:highlight w:val="none"/>
          <w14:textFill>
            <w14:solidFill>
              <w14:schemeClr w14:val="tx1"/>
            </w14:solidFill>
          </w14:textFill>
        </w:rPr>
      </w:pPr>
      <w:bookmarkStart w:id="81" w:name="_Toc72154940"/>
      <w:r>
        <w:rPr>
          <w:rFonts w:hint="eastAsia" w:ascii="仿宋_GB2312" w:eastAsia="仿宋_GB2312"/>
          <w:b/>
          <w:color w:val="000000" w:themeColor="text1"/>
          <w:sz w:val="32"/>
          <w:szCs w:val="32"/>
          <w:highlight w:val="none"/>
          <w14:textFill>
            <w14:solidFill>
              <w14:schemeClr w14:val="tx1"/>
            </w14:solidFill>
          </w14:textFill>
        </w:rPr>
        <w:t>4.抓好调解仲裁，提升办案质效</w:t>
      </w:r>
      <w:bookmarkEnd w:id="81"/>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bookmarkStart w:id="82" w:name="_Hlk72133784"/>
      <w:r>
        <w:rPr>
          <w:rFonts w:hint="eastAsia" w:ascii="仿宋_GB2312" w:eastAsia="仿宋_GB2312"/>
          <w:b/>
          <w:color w:val="000000" w:themeColor="text1"/>
          <w:sz w:val="32"/>
          <w:szCs w:val="32"/>
          <w:highlight w:val="none"/>
          <w14:textFill>
            <w14:solidFill>
              <w14:schemeClr w14:val="tx1"/>
            </w14:solidFill>
          </w14:textFill>
        </w:rPr>
        <w:t>加强劳动关系调解仲裁能力建设。</w:t>
      </w:r>
      <w:r>
        <w:rPr>
          <w:rFonts w:hint="eastAsia" w:ascii="仿宋_GB2312" w:eastAsia="仿宋_GB2312"/>
          <w:color w:val="000000" w:themeColor="text1"/>
          <w:sz w:val="32"/>
          <w:szCs w:val="32"/>
          <w:highlight w:val="none"/>
          <w14:textFill>
            <w14:solidFill>
              <w14:schemeClr w14:val="tx1"/>
            </w14:solidFill>
          </w14:textFill>
        </w:rPr>
        <w:t>加快区调解仲裁中心建设，</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选优配强仲裁员队伍，</w:t>
      </w:r>
      <w:r>
        <w:rPr>
          <w:rFonts w:hint="eastAsia" w:ascii="仿宋_GB2312" w:eastAsia="仿宋_GB2312"/>
          <w:color w:val="000000" w:themeColor="text1"/>
          <w:sz w:val="32"/>
          <w:szCs w:val="32"/>
          <w:highlight w:val="none"/>
          <w14:textFill>
            <w14:solidFill>
              <w14:schemeClr w14:val="tx1"/>
            </w14:solidFill>
          </w14:textFill>
        </w:rPr>
        <w:t>提高调解仲裁工作的专业化水平，提升办案质量。联合区司法局，</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规范</w:t>
      </w:r>
      <w:r>
        <w:rPr>
          <w:rFonts w:hint="eastAsia" w:ascii="仿宋_GB2312" w:eastAsia="仿宋_GB2312"/>
          <w:color w:val="000000" w:themeColor="text1"/>
          <w:sz w:val="32"/>
          <w:szCs w:val="32"/>
          <w:highlight w:val="none"/>
          <w14:textFill>
            <w14:solidFill>
              <w14:schemeClr w14:val="tx1"/>
            </w14:solidFill>
          </w14:textFill>
        </w:rPr>
        <w:t>镇街、工会、企业、协会和商会</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基层调解组织，</w:t>
      </w:r>
      <w:r>
        <w:rPr>
          <w:rFonts w:hint="eastAsia" w:ascii="仿宋_GB2312" w:eastAsia="仿宋_GB2312"/>
          <w:color w:val="000000" w:themeColor="text1"/>
          <w:sz w:val="32"/>
          <w:szCs w:val="32"/>
          <w:highlight w:val="none"/>
          <w14:textFill>
            <w14:solidFill>
              <w14:schemeClr w14:val="tx1"/>
            </w14:solidFill>
          </w14:textFill>
        </w:rPr>
        <w:t>提高基层化解矛盾纠纷能力，促进争议多元化解。</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建立劳动人事争议调解组织工作管理办法，</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选优配强专职调解员队伍，更好发挥调解“第一道防线”作用</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w:t>
      </w:r>
    </w:p>
    <w:bookmarkEnd w:id="82"/>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加大劳动关系调解仲裁工作力度。</w:t>
      </w:r>
      <w:r>
        <w:rPr>
          <w:rFonts w:hint="eastAsia" w:ascii="仿宋_GB2312" w:eastAsia="仿宋_GB2312"/>
          <w:color w:val="000000" w:themeColor="text1"/>
          <w:sz w:val="32"/>
          <w:szCs w:val="32"/>
          <w:highlight w:val="none"/>
          <w14:textFill>
            <w14:solidFill>
              <w14:schemeClr w14:val="tx1"/>
            </w14:solidFill>
          </w14:textFill>
        </w:rPr>
        <w:t>发挥仲裁制度优势，加大终局裁决力度，提升案件处理质效。开展“互联网+调解”工作，促使争议就近就地解决。完善裁审衔接机制，建立区法院与区调解仲裁中心之间的定期通报、联席会议等信息共享机制，逐步统一裁审受理范围和法律适用标准，确保各类劳动争议得到依法、及时、有效、公正处理，维护劳动者合法权益。</w:t>
      </w:r>
    </w:p>
    <w:bookmarkEnd w:id="71"/>
    <w:bookmarkEnd w:id="72"/>
    <w:bookmarkEnd w:id="73"/>
    <w:p>
      <w:pPr>
        <w:ind w:firstLine="640" w:firstLineChars="200"/>
        <w:outlineLvl w:val="1"/>
        <w:rPr>
          <w:rFonts w:ascii="楷体_GB2312" w:eastAsia="楷体_GB2312"/>
          <w:color w:val="000000" w:themeColor="text1"/>
          <w:sz w:val="32"/>
          <w:szCs w:val="32"/>
          <w:highlight w:val="none"/>
          <w14:textFill>
            <w14:solidFill>
              <w14:schemeClr w14:val="tx1"/>
            </w14:solidFill>
          </w14:textFill>
        </w:rPr>
      </w:pPr>
      <w:bookmarkStart w:id="83" w:name="_Toc72154941"/>
      <w:r>
        <w:rPr>
          <w:rFonts w:hint="eastAsia" w:ascii="楷体_GB2312" w:eastAsia="楷体_GB2312"/>
          <w:color w:val="000000" w:themeColor="text1"/>
          <w:sz w:val="32"/>
          <w:szCs w:val="32"/>
          <w:highlight w:val="none"/>
          <w14:textFill>
            <w14:solidFill>
              <w14:schemeClr w14:val="tx1"/>
            </w14:solidFill>
          </w14:textFill>
        </w:rPr>
        <w:t>（五）推行公共服务便捷化，构建良好服务生态</w:t>
      </w:r>
      <w:bookmarkEnd w:id="83"/>
    </w:p>
    <w:p>
      <w:pPr>
        <w:ind w:firstLine="640" w:firstLineChars="200"/>
        <w:rPr>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实施服务便民工程，发挥</w:t>
      </w:r>
      <w:r>
        <w:rPr>
          <w:rFonts w:ascii="仿宋_GB2312" w:eastAsia="仿宋_GB2312"/>
          <w:color w:val="000000" w:themeColor="text1"/>
          <w:sz w:val="32"/>
          <w:szCs w:val="32"/>
          <w:highlight w:val="none"/>
          <w14:textFill>
            <w14:solidFill>
              <w14:schemeClr w14:val="tx1"/>
            </w14:solidFill>
          </w14:textFill>
        </w:rPr>
        <w:t>党建</w:t>
      </w:r>
      <w:r>
        <w:rPr>
          <w:rFonts w:hint="eastAsia" w:ascii="仿宋_GB2312" w:eastAsia="仿宋_GB2312"/>
          <w:color w:val="000000" w:themeColor="text1"/>
          <w:sz w:val="32"/>
          <w:szCs w:val="32"/>
          <w:highlight w:val="none"/>
          <w14:textFill>
            <w14:solidFill>
              <w14:schemeClr w14:val="tx1"/>
            </w14:solidFill>
          </w14:textFill>
        </w:rPr>
        <w:t>引领作用</w:t>
      </w:r>
      <w:r>
        <w:rPr>
          <w:rFonts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坚持以人民为中心，强化</w:t>
      </w:r>
      <w:r>
        <w:rPr>
          <w:rFonts w:ascii="仿宋_GB2312" w:eastAsia="仿宋_GB2312"/>
          <w:color w:val="000000" w:themeColor="text1"/>
          <w:sz w:val="32"/>
          <w:szCs w:val="32"/>
          <w:highlight w:val="none"/>
          <w14:textFill>
            <w14:solidFill>
              <w14:schemeClr w14:val="tx1"/>
            </w14:solidFill>
          </w14:textFill>
        </w:rPr>
        <w:t>主动服务意识，聚焦</w:t>
      </w:r>
      <w:r>
        <w:rPr>
          <w:rFonts w:hint="eastAsia" w:ascii="仿宋_GB2312" w:eastAsia="仿宋_GB2312"/>
          <w:color w:val="000000" w:themeColor="text1"/>
          <w:sz w:val="32"/>
          <w:szCs w:val="32"/>
          <w:highlight w:val="none"/>
          <w14:textFill>
            <w14:solidFill>
              <w14:schemeClr w14:val="tx1"/>
            </w14:solidFill>
          </w14:textFill>
        </w:rPr>
        <w:t>人力社保领域</w:t>
      </w:r>
      <w:r>
        <w:rPr>
          <w:rFonts w:ascii="仿宋_GB2312" w:eastAsia="仿宋_GB2312"/>
          <w:color w:val="000000" w:themeColor="text1"/>
          <w:sz w:val="32"/>
          <w:szCs w:val="32"/>
          <w:highlight w:val="none"/>
          <w14:textFill>
            <w14:solidFill>
              <w14:schemeClr w14:val="tx1"/>
            </w14:solidFill>
          </w14:textFill>
        </w:rPr>
        <w:t>核心业务，</w:t>
      </w:r>
      <w:r>
        <w:rPr>
          <w:rFonts w:hint="eastAsia" w:ascii="仿宋_GB2312" w:eastAsia="仿宋_GB2312"/>
          <w:color w:val="000000" w:themeColor="text1"/>
          <w:sz w:val="32"/>
          <w:szCs w:val="32"/>
          <w:highlight w:val="none"/>
          <w14:textFill>
            <w14:solidFill>
              <w14:schemeClr w14:val="tx1"/>
            </w14:solidFill>
          </w14:textFill>
        </w:rPr>
        <w:t>围绕</w:t>
      </w:r>
      <w:r>
        <w:rPr>
          <w:rFonts w:ascii="仿宋_GB2312" w:eastAsia="仿宋_GB2312"/>
          <w:color w:val="000000" w:themeColor="text1"/>
          <w:sz w:val="32"/>
          <w:szCs w:val="32"/>
          <w:highlight w:val="none"/>
          <w14:textFill>
            <w14:solidFill>
              <w14:schemeClr w14:val="tx1"/>
            </w14:solidFill>
          </w14:textFill>
        </w:rPr>
        <w:t>办理流程</w:t>
      </w:r>
      <w:r>
        <w:rPr>
          <w:rFonts w:hint="eastAsia" w:ascii="仿宋_GB2312" w:eastAsia="仿宋_GB2312"/>
          <w:color w:val="000000" w:themeColor="text1"/>
          <w:sz w:val="32"/>
          <w:szCs w:val="32"/>
          <w:highlight w:val="none"/>
          <w14:textFill>
            <w14:solidFill>
              <w14:schemeClr w14:val="tx1"/>
            </w14:solidFill>
          </w14:textFill>
        </w:rPr>
        <w:t>、</w:t>
      </w:r>
      <w:r>
        <w:rPr>
          <w:rFonts w:ascii="仿宋_GB2312" w:eastAsia="仿宋_GB2312"/>
          <w:color w:val="000000" w:themeColor="text1"/>
          <w:sz w:val="32"/>
          <w:szCs w:val="32"/>
          <w:highlight w:val="none"/>
          <w14:textFill>
            <w14:solidFill>
              <w14:schemeClr w14:val="tx1"/>
            </w14:solidFill>
          </w14:textFill>
        </w:rPr>
        <w:t>标准、方式等</w:t>
      </w:r>
      <w:r>
        <w:rPr>
          <w:rFonts w:hint="eastAsia" w:ascii="仿宋_GB2312" w:eastAsia="仿宋_GB2312"/>
          <w:color w:val="000000" w:themeColor="text1"/>
          <w:sz w:val="32"/>
          <w:szCs w:val="32"/>
          <w:highlight w:val="none"/>
          <w14:textFill>
            <w14:solidFill>
              <w14:schemeClr w14:val="tx1"/>
            </w14:solidFill>
          </w14:textFill>
        </w:rPr>
        <w:t>，</w:t>
      </w:r>
      <w:r>
        <w:rPr>
          <w:rFonts w:ascii="仿宋_GB2312" w:eastAsia="仿宋_GB2312"/>
          <w:color w:val="000000" w:themeColor="text1"/>
          <w:sz w:val="32"/>
          <w:szCs w:val="32"/>
          <w:highlight w:val="none"/>
          <w14:textFill>
            <w14:solidFill>
              <w14:schemeClr w14:val="tx1"/>
            </w14:solidFill>
          </w14:textFill>
        </w:rPr>
        <w:t>全</w:t>
      </w:r>
      <w:r>
        <w:rPr>
          <w:rFonts w:hint="eastAsia" w:ascii="仿宋_GB2312" w:eastAsia="仿宋_GB2312"/>
          <w:color w:val="000000" w:themeColor="text1"/>
          <w:sz w:val="32"/>
          <w:szCs w:val="32"/>
          <w:highlight w:val="none"/>
          <w14:textFill>
            <w14:solidFill>
              <w14:schemeClr w14:val="tx1"/>
            </w14:solidFill>
          </w14:textFill>
        </w:rPr>
        <w:t>面提高便捷化</w:t>
      </w:r>
      <w:r>
        <w:rPr>
          <w:rFonts w:ascii="仿宋_GB2312" w:eastAsia="仿宋_GB2312"/>
          <w:color w:val="000000" w:themeColor="text1"/>
          <w:sz w:val="32"/>
          <w:szCs w:val="32"/>
          <w:highlight w:val="none"/>
          <w14:textFill>
            <w14:solidFill>
              <w14:schemeClr w14:val="tx1"/>
            </w14:solidFill>
          </w14:textFill>
        </w:rPr>
        <w:t>程度，</w:t>
      </w:r>
      <w:r>
        <w:rPr>
          <w:rFonts w:hint="eastAsia" w:ascii="仿宋_GB2312" w:eastAsia="仿宋_GB2312"/>
          <w:color w:val="000000" w:themeColor="text1"/>
          <w:sz w:val="32"/>
          <w:szCs w:val="32"/>
          <w:highlight w:val="none"/>
          <w14:textFill>
            <w14:solidFill>
              <w14:schemeClr w14:val="tx1"/>
            </w14:solidFill>
          </w14:textFill>
        </w:rPr>
        <w:t>积极开展</w:t>
      </w:r>
      <w:r>
        <w:rPr>
          <w:rFonts w:ascii="仿宋_GB2312" w:eastAsia="仿宋_GB2312"/>
          <w:color w:val="000000" w:themeColor="text1"/>
          <w:sz w:val="32"/>
          <w:szCs w:val="32"/>
          <w:highlight w:val="none"/>
          <w14:textFill>
            <w14:solidFill>
              <w14:schemeClr w14:val="tx1"/>
            </w14:solidFill>
          </w14:textFill>
        </w:rPr>
        <w:t>在线服务，</w:t>
      </w:r>
      <w:r>
        <w:rPr>
          <w:rFonts w:hint="eastAsia" w:ascii="仿宋_GB2312" w:eastAsia="仿宋_GB2312"/>
          <w:color w:val="000000" w:themeColor="text1"/>
          <w:sz w:val="32"/>
          <w:szCs w:val="32"/>
          <w:highlight w:val="none"/>
          <w14:textFill>
            <w14:solidFill>
              <w14:schemeClr w14:val="tx1"/>
            </w14:solidFill>
          </w14:textFill>
        </w:rPr>
        <w:t>持续推动</w:t>
      </w:r>
      <w:r>
        <w:rPr>
          <w:rFonts w:ascii="仿宋_GB2312" w:eastAsia="仿宋_GB2312"/>
          <w:color w:val="000000" w:themeColor="text1"/>
          <w:sz w:val="32"/>
          <w:szCs w:val="32"/>
          <w:highlight w:val="none"/>
          <w14:textFill>
            <w14:solidFill>
              <w14:schemeClr w14:val="tx1"/>
            </w14:solidFill>
          </w14:textFill>
        </w:rPr>
        <w:t>全区营商环境</w:t>
      </w:r>
      <w:r>
        <w:rPr>
          <w:rFonts w:hint="eastAsia" w:ascii="仿宋_GB2312" w:eastAsia="仿宋_GB2312"/>
          <w:color w:val="000000" w:themeColor="text1"/>
          <w:sz w:val="32"/>
          <w:szCs w:val="32"/>
          <w:highlight w:val="none"/>
          <w14:textFill>
            <w14:solidFill>
              <w14:schemeClr w14:val="tx1"/>
            </w14:solidFill>
          </w14:textFill>
        </w:rPr>
        <w:t>优化</w:t>
      </w:r>
      <w:r>
        <w:rPr>
          <w:rFonts w:ascii="仿宋_GB2312" w:eastAsia="仿宋_GB2312"/>
          <w:color w:val="000000" w:themeColor="text1"/>
          <w:sz w:val="32"/>
          <w:szCs w:val="32"/>
          <w:highlight w:val="none"/>
          <w14:textFill>
            <w14:solidFill>
              <w14:schemeClr w14:val="tx1"/>
            </w14:solidFill>
          </w14:textFill>
        </w:rPr>
        <w:t>。</w:t>
      </w:r>
    </w:p>
    <w:p>
      <w:pPr>
        <w:ind w:firstLine="643" w:firstLineChars="200"/>
        <w:outlineLvl w:val="2"/>
        <w:rPr>
          <w:rFonts w:ascii="仿宋_GB2312" w:eastAsia="仿宋_GB2312"/>
          <w:b/>
          <w:bCs/>
          <w:color w:val="000000" w:themeColor="text1"/>
          <w:sz w:val="32"/>
          <w:szCs w:val="32"/>
          <w:highlight w:val="none"/>
          <w14:textFill>
            <w14:solidFill>
              <w14:schemeClr w14:val="tx1"/>
            </w14:solidFill>
          </w14:textFill>
        </w:rPr>
      </w:pPr>
      <w:bookmarkStart w:id="84" w:name="_Toc63782010"/>
      <w:bookmarkStart w:id="85" w:name="_Toc72154942"/>
      <w:r>
        <w:rPr>
          <w:rFonts w:hint="eastAsia" w:ascii="仿宋_GB2312" w:eastAsia="仿宋_GB2312"/>
          <w:b/>
          <w:bCs/>
          <w:color w:val="000000" w:themeColor="text1"/>
          <w:sz w:val="32"/>
          <w:szCs w:val="32"/>
          <w:highlight w:val="none"/>
          <w14:textFill>
            <w14:solidFill>
              <w14:schemeClr w14:val="tx1"/>
            </w14:solidFill>
          </w14:textFill>
        </w:rPr>
        <w:t>1.发挥党建引领作用，持续优化营商环境</w:t>
      </w:r>
      <w:bookmarkEnd w:id="84"/>
      <w:bookmarkEnd w:id="85"/>
    </w:p>
    <w:p>
      <w:pPr>
        <w:ind w:firstLine="643" w:firstLineChars="200"/>
        <w:outlineLvl w:val="3"/>
        <w:rPr>
          <w:rFonts w:ascii="仿宋_GB2312" w:eastAsia="仿宋_GB2312"/>
          <w:b/>
          <w:bCs/>
          <w:color w:val="000000" w:themeColor="text1"/>
          <w:sz w:val="32"/>
          <w:szCs w:val="32"/>
          <w:highlight w:val="none"/>
          <w14:textFill>
            <w14:solidFill>
              <w14:schemeClr w14:val="tx1"/>
            </w14:solidFill>
          </w14:textFill>
        </w:rPr>
      </w:pPr>
      <w:r>
        <w:rPr>
          <w:rFonts w:hint="eastAsia" w:ascii="仿宋_GB2312" w:eastAsia="仿宋_GB2312"/>
          <w:b/>
          <w:bCs/>
          <w:color w:val="000000" w:themeColor="text1"/>
          <w:sz w:val="32"/>
          <w:szCs w:val="32"/>
          <w:highlight w:val="none"/>
          <w14:textFill>
            <w14:solidFill>
              <w14:schemeClr w14:val="tx1"/>
            </w14:solidFill>
          </w14:textFill>
        </w:rPr>
        <w:t>打造党建引领的</w:t>
      </w:r>
      <w:r>
        <w:rPr>
          <w:rFonts w:ascii="仿宋_GB2312" w:eastAsia="仿宋_GB2312"/>
          <w:b/>
          <w:bCs/>
          <w:color w:val="000000" w:themeColor="text1"/>
          <w:sz w:val="32"/>
          <w:szCs w:val="32"/>
          <w:highlight w:val="none"/>
          <w14:textFill>
            <w14:solidFill>
              <w14:schemeClr w14:val="tx1"/>
            </w14:solidFill>
          </w14:textFill>
        </w:rPr>
        <w:t>人社服务品牌</w:t>
      </w:r>
      <w:r>
        <w:rPr>
          <w:rFonts w:hint="eastAsia" w:ascii="仿宋_GB2312" w:eastAsia="仿宋_GB2312"/>
          <w:b/>
          <w:bCs/>
          <w:color w:val="000000" w:themeColor="text1"/>
          <w:sz w:val="32"/>
          <w:szCs w:val="32"/>
          <w:highlight w:val="none"/>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以“红色流水线、服务零距离”党建实践品牌为</w:t>
      </w:r>
      <w:r>
        <w:rPr>
          <w:rFonts w:ascii="仿宋_GB2312" w:hAnsi="仿宋_GB2312" w:eastAsia="仿宋_GB2312" w:cs="仿宋_GB2312"/>
          <w:bCs/>
          <w:color w:val="000000" w:themeColor="text1"/>
          <w:sz w:val="32"/>
          <w:szCs w:val="32"/>
          <w:highlight w:val="none"/>
          <w14:textFill>
            <w14:solidFill>
              <w14:schemeClr w14:val="tx1"/>
            </w14:solidFill>
          </w14:textFill>
        </w:rPr>
        <w:t>引领</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，建立“1+4”党建实践品牌体系，深入开展“局科长走流程”专项活动，推动就业工作、劳动关系、人才人事、社会保障板块关联业务实现流水线式办理、无缝衔接。</w:t>
      </w:r>
      <w:r>
        <w:rPr>
          <w:rFonts w:hint="eastAsia" w:ascii="仿宋_GB2312" w:hAnsi="仿宋_GB2312" w:eastAsia="仿宋_GB2312" w:cs="仿宋_GB2312"/>
          <w:color w:val="000000" w:themeColor="text1"/>
          <w:sz w:val="32"/>
          <w:szCs w:val="32"/>
          <w:highlight w:val="none"/>
          <w14:textFill>
            <w14:solidFill>
              <w14:schemeClr w14:val="tx1"/>
            </w14:solidFill>
          </w14:textFill>
        </w:rPr>
        <w:t>围绕中心、服务大局，加强党建对业务的全面引领，充分</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发挥党员干部的先锋模范作用和党支部的战斗堡垒作用，推进机关党建和业务工作的深度融合，锻造人力社保红色先锋。</w:t>
      </w:r>
    </w:p>
    <w:p>
      <w:pPr>
        <w:ind w:firstLine="643" w:firstLineChars="200"/>
        <w:outlineLvl w:val="3"/>
        <w:rPr>
          <w:color w:val="000000" w:themeColor="text1"/>
          <w:sz w:val="32"/>
          <w:szCs w:val="32"/>
          <w:highlight w:val="none"/>
          <w14:textFill>
            <w14:solidFill>
              <w14:schemeClr w14:val="tx1"/>
            </w14:solidFill>
          </w14:textFill>
        </w:rPr>
      </w:pPr>
      <w:r>
        <w:rPr>
          <w:rFonts w:hint="eastAsia" w:ascii="仿宋_GB2312" w:eastAsia="仿宋_GB2312"/>
          <w:b/>
          <w:bCs/>
          <w:color w:val="000000" w:themeColor="text1"/>
          <w:sz w:val="32"/>
          <w:szCs w:val="32"/>
          <w:highlight w:val="none"/>
          <w14:textFill>
            <w14:solidFill>
              <w14:schemeClr w14:val="tx1"/>
            </w14:solidFill>
          </w14:textFill>
        </w:rPr>
        <w:t>持续优化便民</w:t>
      </w:r>
      <w:r>
        <w:rPr>
          <w:rFonts w:ascii="仿宋_GB2312" w:eastAsia="仿宋_GB2312"/>
          <w:b/>
          <w:bCs/>
          <w:color w:val="000000" w:themeColor="text1"/>
          <w:sz w:val="32"/>
          <w:szCs w:val="32"/>
          <w:highlight w:val="none"/>
          <w14:textFill>
            <w14:solidFill>
              <w14:schemeClr w14:val="tx1"/>
            </w14:solidFill>
          </w14:textFill>
        </w:rPr>
        <w:t>服务</w:t>
      </w:r>
      <w:r>
        <w:rPr>
          <w:rFonts w:hint="eastAsia" w:ascii="仿宋_GB2312" w:eastAsia="仿宋_GB2312"/>
          <w:b/>
          <w:bCs/>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落实优化营商环境政策，创新服务模式，提供网上办、预约办、容缺办、延时办等服务，推行</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“周末不打烊”“早晚弹性办、午间不间断”等工作模式</w:t>
      </w:r>
      <w:r>
        <w:rPr>
          <w:rFonts w:hint="eastAsia" w:ascii="仿宋_GB2312" w:eastAsia="仿宋_GB2312"/>
          <w:color w:val="000000" w:themeColor="text1"/>
          <w:sz w:val="32"/>
          <w:szCs w:val="32"/>
          <w:highlight w:val="none"/>
          <w14:textFill>
            <w14:solidFill>
              <w14:schemeClr w14:val="tx1"/>
            </w14:solidFill>
          </w14:textFill>
        </w:rPr>
        <w:t>。加强与税务、公安等部门间的协调配合，</w:t>
      </w:r>
      <w:r>
        <w:rPr>
          <w:rFonts w:ascii="仿宋_GB2312" w:hAnsi="仿宋_GB2312" w:eastAsia="仿宋_GB2312" w:cs="仿宋_GB2312"/>
          <w:color w:val="000000" w:themeColor="text1"/>
          <w:sz w:val="32"/>
          <w:szCs w:val="32"/>
          <w:highlight w:val="none"/>
          <w14:textFill>
            <w14:solidFill>
              <w14:schemeClr w14:val="tx1"/>
            </w14:solidFill>
          </w14:textFill>
        </w:rPr>
        <w:t>打通线上线下</w:t>
      </w:r>
      <w:r>
        <w:rPr>
          <w:rFonts w:hint="eastAsia" w:ascii="仿宋_GB2312" w:hAnsi="仿宋_GB2312" w:eastAsia="仿宋_GB2312" w:cs="仿宋_GB2312"/>
          <w:color w:val="000000" w:themeColor="text1"/>
          <w:sz w:val="32"/>
          <w:szCs w:val="32"/>
          <w:highlight w:val="none"/>
          <w14:textFill>
            <w14:solidFill>
              <w14:schemeClr w14:val="tx1"/>
            </w14:solidFill>
          </w14:textFill>
        </w:rPr>
        <w:t>办事</w:t>
      </w:r>
      <w:r>
        <w:rPr>
          <w:rFonts w:ascii="仿宋_GB2312" w:hAnsi="仿宋_GB2312" w:eastAsia="仿宋_GB2312" w:cs="仿宋_GB2312"/>
          <w:color w:val="000000" w:themeColor="text1"/>
          <w:sz w:val="32"/>
          <w:szCs w:val="32"/>
          <w:highlight w:val="none"/>
          <w14:textFill>
            <w14:solidFill>
              <w14:schemeClr w14:val="tx1"/>
            </w14:solidFill>
          </w14:textFill>
        </w:rPr>
        <w:t>堵点，</w:t>
      </w:r>
      <w:r>
        <w:rPr>
          <w:rFonts w:hint="eastAsia" w:ascii="仿宋_GB2312" w:hAnsi="仿宋_GB2312" w:eastAsia="仿宋_GB2312" w:cs="仿宋_GB2312"/>
          <w:color w:val="000000" w:themeColor="text1"/>
          <w:sz w:val="32"/>
          <w:szCs w:val="32"/>
          <w:highlight w:val="none"/>
          <w14:textFill>
            <w14:solidFill>
              <w14:schemeClr w14:val="tx1"/>
            </w14:solidFill>
          </w14:textFill>
        </w:rPr>
        <w:t>实现“集成办、就近办、简化办”。</w:t>
      </w:r>
    </w:p>
    <w:p>
      <w:pPr>
        <w:ind w:firstLine="643" w:firstLineChars="200"/>
        <w:outlineLvl w:val="3"/>
        <w:rPr>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提高</w:t>
      </w:r>
      <w:r>
        <w:rPr>
          <w:rFonts w:ascii="仿宋_GB2312" w:eastAsia="仿宋_GB2312"/>
          <w:b/>
          <w:color w:val="000000" w:themeColor="text1"/>
          <w:sz w:val="32"/>
          <w:szCs w:val="32"/>
          <w:highlight w:val="none"/>
          <w14:textFill>
            <w14:solidFill>
              <w14:schemeClr w14:val="tx1"/>
            </w14:solidFill>
          </w14:textFill>
        </w:rPr>
        <w:t>服务</w:t>
      </w:r>
      <w:r>
        <w:rPr>
          <w:rFonts w:hint="eastAsia" w:ascii="仿宋_GB2312" w:eastAsia="仿宋_GB2312"/>
          <w:b/>
          <w:color w:val="000000" w:themeColor="text1"/>
          <w:sz w:val="32"/>
          <w:szCs w:val="32"/>
          <w:highlight w:val="none"/>
          <w14:textFill>
            <w14:solidFill>
              <w14:schemeClr w14:val="tx1"/>
            </w14:solidFill>
          </w14:textFill>
        </w:rPr>
        <w:t>规范化</w:t>
      </w:r>
      <w:r>
        <w:rPr>
          <w:rFonts w:ascii="仿宋_GB2312" w:eastAsia="仿宋_GB2312"/>
          <w:b/>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加大人力社保服务机构规范化建设，科学确定各项服务所需的设施设备、人员配备、经费保障等标准，持续规范公共服务范围、服务内容、服务流程，强化业务培训和评比表彰，推进窗口服务建设。</w:t>
      </w:r>
    </w:p>
    <w:p>
      <w:pPr>
        <w:ind w:firstLine="643" w:firstLineChars="200"/>
        <w:outlineLvl w:val="2"/>
        <w:rPr>
          <w:rFonts w:ascii="仿宋_GB2312" w:eastAsia="仿宋_GB2312"/>
          <w:b/>
          <w:bCs/>
          <w:color w:val="000000" w:themeColor="text1"/>
          <w:sz w:val="32"/>
          <w:szCs w:val="32"/>
          <w:highlight w:val="none"/>
          <w14:textFill>
            <w14:solidFill>
              <w14:schemeClr w14:val="tx1"/>
            </w14:solidFill>
          </w14:textFill>
        </w:rPr>
      </w:pPr>
      <w:bookmarkStart w:id="86" w:name="_Toc72154943"/>
      <w:bookmarkStart w:id="87" w:name="_Toc63782011"/>
      <w:r>
        <w:rPr>
          <w:rFonts w:hint="eastAsia" w:ascii="仿宋_GB2312" w:eastAsia="仿宋_GB2312"/>
          <w:b/>
          <w:bCs/>
          <w:color w:val="000000" w:themeColor="text1"/>
          <w:sz w:val="32"/>
          <w:szCs w:val="32"/>
          <w:highlight w:val="none"/>
          <w14:textFill>
            <w14:solidFill>
              <w14:schemeClr w14:val="tx1"/>
            </w14:solidFill>
          </w14:textFill>
        </w:rPr>
        <w:t>2.健全人社服务体系，强化主动服务</w:t>
      </w:r>
      <w:bookmarkEnd w:id="86"/>
      <w:bookmarkEnd w:id="87"/>
      <w:r>
        <w:rPr>
          <w:rFonts w:hint="eastAsia" w:ascii="仿宋_GB2312" w:eastAsia="仿宋_GB2312"/>
          <w:b/>
          <w:bCs/>
          <w:color w:val="000000" w:themeColor="text1"/>
          <w:sz w:val="32"/>
          <w:szCs w:val="32"/>
          <w:highlight w:val="none"/>
          <w14:textFill>
            <w14:solidFill>
              <w14:schemeClr w14:val="tx1"/>
            </w14:solidFill>
          </w14:textFill>
        </w:rPr>
        <w:t>意识</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完善就业专员制度。</w:t>
      </w:r>
      <w:r>
        <w:rPr>
          <w:rFonts w:hint="eastAsia" w:ascii="仿宋_GB2312" w:eastAsia="仿宋_GB2312"/>
          <w:color w:val="000000" w:themeColor="text1"/>
          <w:sz w:val="32"/>
          <w:szCs w:val="32"/>
          <w:highlight w:val="none"/>
          <w14:textFill>
            <w14:solidFill>
              <w14:schemeClr w14:val="tx1"/>
            </w14:solidFill>
          </w14:textFill>
        </w:rPr>
        <w:t>以就业服务专员为依托，加强网格化管理服务，把</w:t>
      </w:r>
      <w:r>
        <w:rPr>
          <w:rFonts w:ascii="仿宋_GB2312" w:eastAsia="仿宋_GB2312"/>
          <w:color w:val="000000" w:themeColor="text1"/>
          <w:sz w:val="32"/>
          <w:szCs w:val="32"/>
          <w:highlight w:val="none"/>
          <w14:textFill>
            <w14:solidFill>
              <w14:schemeClr w14:val="tx1"/>
            </w14:solidFill>
          </w14:textFill>
        </w:rPr>
        <w:t>就业</w:t>
      </w:r>
      <w:r>
        <w:rPr>
          <w:rFonts w:hint="eastAsia" w:ascii="仿宋_GB2312" w:eastAsia="仿宋_GB2312"/>
          <w:color w:val="000000" w:themeColor="text1"/>
          <w:sz w:val="32"/>
          <w:szCs w:val="32"/>
          <w:highlight w:val="none"/>
          <w14:textFill>
            <w14:solidFill>
              <w14:schemeClr w14:val="tx1"/>
            </w14:solidFill>
          </w14:textFill>
        </w:rPr>
        <w:t>服务</w:t>
      </w:r>
      <w:r>
        <w:rPr>
          <w:rFonts w:ascii="仿宋_GB2312" w:eastAsia="仿宋_GB2312"/>
          <w:color w:val="000000" w:themeColor="text1"/>
          <w:sz w:val="32"/>
          <w:szCs w:val="32"/>
          <w:highlight w:val="none"/>
          <w14:textFill>
            <w14:solidFill>
              <w14:schemeClr w14:val="tx1"/>
            </w14:solidFill>
          </w14:textFill>
        </w:rPr>
        <w:t>体系扩展至</w:t>
      </w:r>
      <w:r>
        <w:rPr>
          <w:rFonts w:hint="eastAsia" w:ascii="仿宋_GB2312" w:eastAsia="仿宋_GB2312"/>
          <w:color w:val="000000" w:themeColor="text1"/>
          <w:sz w:val="32"/>
          <w:szCs w:val="32"/>
          <w:highlight w:val="none"/>
          <w14:textFill>
            <w14:solidFill>
              <w14:schemeClr w14:val="tx1"/>
            </w14:solidFill>
          </w14:textFill>
        </w:rPr>
        <w:t>人力</w:t>
      </w:r>
      <w:r>
        <w:rPr>
          <w:rFonts w:ascii="仿宋_GB2312" w:eastAsia="仿宋_GB2312"/>
          <w:color w:val="000000" w:themeColor="text1"/>
          <w:sz w:val="32"/>
          <w:szCs w:val="32"/>
          <w:highlight w:val="none"/>
          <w14:textFill>
            <w14:solidFill>
              <w14:schemeClr w14:val="tx1"/>
            </w14:solidFill>
          </w14:textFill>
        </w:rPr>
        <w:t>社保全</w:t>
      </w:r>
      <w:r>
        <w:rPr>
          <w:rFonts w:hint="eastAsia" w:ascii="仿宋_GB2312" w:eastAsia="仿宋_GB2312"/>
          <w:color w:val="000000" w:themeColor="text1"/>
          <w:sz w:val="32"/>
          <w:szCs w:val="32"/>
          <w:highlight w:val="none"/>
          <w14:textFill>
            <w14:solidFill>
              <w14:schemeClr w14:val="tx1"/>
            </w14:solidFill>
          </w14:textFill>
        </w:rPr>
        <w:t>领域</w:t>
      </w:r>
      <w:r>
        <w:rPr>
          <w:rFonts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打通人社服务“最后一公里”。配齐配强就业服务专员队伍</w:t>
      </w:r>
      <w:r>
        <w:rPr>
          <w:rFonts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建立</w:t>
      </w:r>
      <w:r>
        <w:rPr>
          <w:rFonts w:ascii="仿宋_GB2312" w:eastAsia="仿宋_GB2312"/>
          <w:color w:val="000000" w:themeColor="text1"/>
          <w:sz w:val="32"/>
          <w:szCs w:val="32"/>
          <w:highlight w:val="none"/>
          <w14:textFill>
            <w14:solidFill>
              <w14:schemeClr w14:val="tx1"/>
            </w14:solidFill>
          </w14:textFill>
        </w:rPr>
        <w:t>梯次配合的</w:t>
      </w:r>
      <w:r>
        <w:rPr>
          <w:rFonts w:hint="eastAsia" w:ascii="仿宋_GB2312" w:eastAsia="仿宋_GB2312"/>
          <w:color w:val="000000" w:themeColor="text1"/>
          <w:sz w:val="32"/>
          <w:szCs w:val="32"/>
          <w:highlight w:val="none"/>
          <w14:textFill>
            <w14:solidFill>
              <w14:schemeClr w14:val="tx1"/>
            </w14:solidFill>
          </w14:textFill>
        </w:rPr>
        <w:t>就业服务指导员、就业服务专员、企业联络员，三员配合开展工作。</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强化就业专员</w:t>
      </w:r>
      <w:r>
        <w:rPr>
          <w:rFonts w:ascii="仿宋_GB2312" w:eastAsia="仿宋_GB2312"/>
          <w:b/>
          <w:color w:val="000000" w:themeColor="text1"/>
          <w:sz w:val="32"/>
          <w:szCs w:val="32"/>
          <w:highlight w:val="none"/>
          <w14:textFill>
            <w14:solidFill>
              <w14:schemeClr w14:val="tx1"/>
            </w14:solidFill>
          </w14:textFill>
        </w:rPr>
        <w:t>职责。</w:t>
      </w:r>
      <w:r>
        <w:rPr>
          <w:rFonts w:hint="eastAsia" w:ascii="仿宋_GB2312" w:eastAsia="仿宋_GB2312"/>
          <w:color w:val="000000" w:themeColor="text1"/>
          <w:sz w:val="32"/>
          <w:szCs w:val="32"/>
          <w:highlight w:val="none"/>
          <w14:textFill>
            <w14:solidFill>
              <w14:schemeClr w14:val="tx1"/>
            </w14:solidFill>
          </w14:textFill>
        </w:rPr>
        <w:t>就业服务指导员对接各级公共服务机构进行服务指导、解读政策；就业服务专员落实“六员”职责，全面走访对接辖区企业，积极</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援助</w:t>
      </w:r>
      <w:r>
        <w:rPr>
          <w:rFonts w:hint="eastAsia" w:ascii="仿宋_GB2312" w:eastAsia="仿宋_GB2312"/>
          <w:color w:val="000000" w:themeColor="text1"/>
          <w:sz w:val="32"/>
          <w:szCs w:val="32"/>
          <w:highlight w:val="none"/>
          <w14:textFill>
            <w14:solidFill>
              <w14:schemeClr w14:val="tx1"/>
            </w14:solidFill>
          </w14:textFill>
        </w:rPr>
        <w:t>求职者，实现人岗精准匹配；企业联络员</w:t>
      </w:r>
      <w:r>
        <w:rPr>
          <w:rFonts w:ascii="仿宋_GB2312" w:eastAsia="仿宋_GB2312"/>
          <w:color w:val="000000" w:themeColor="text1"/>
          <w:sz w:val="32"/>
          <w:szCs w:val="32"/>
          <w:highlight w:val="none"/>
          <w14:textFill>
            <w14:solidFill>
              <w14:schemeClr w14:val="tx1"/>
            </w14:solidFill>
          </w14:textFill>
        </w:rPr>
        <w:t>对接</w:t>
      </w:r>
      <w:r>
        <w:rPr>
          <w:rFonts w:hint="eastAsia" w:ascii="仿宋_GB2312" w:eastAsia="仿宋_GB2312"/>
          <w:color w:val="000000" w:themeColor="text1"/>
          <w:sz w:val="32"/>
          <w:szCs w:val="32"/>
          <w:highlight w:val="none"/>
          <w14:textFill>
            <w14:solidFill>
              <w14:schemeClr w14:val="tx1"/>
            </w14:solidFill>
          </w14:textFill>
        </w:rPr>
        <w:t>就业服务专员，收集反馈企业需求，打通服务“最后一延米”。</w:t>
      </w:r>
    </w:p>
    <w:p>
      <w:pPr>
        <w:ind w:firstLine="643" w:firstLineChars="200"/>
        <w:outlineLvl w:val="3"/>
        <w:rPr>
          <w:rFonts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树立主动服务理念。</w:t>
      </w:r>
      <w:r>
        <w:rPr>
          <w:rFonts w:hint="eastAsia" w:ascii="仿宋_GB2312" w:eastAsia="仿宋_GB2312"/>
          <w:color w:val="000000" w:themeColor="text1"/>
          <w:sz w:val="32"/>
          <w:szCs w:val="32"/>
          <w:highlight w:val="none"/>
          <w14:textFill>
            <w14:solidFill>
              <w14:schemeClr w14:val="tx1"/>
            </w14:solidFill>
          </w14:textFill>
        </w:rPr>
        <w:t>发挥就业专员的“触角”作用，提前预判、及时反馈、妥善处置，努力从源头上减少群众诉求，变“被动服务”为“主动服务”，变“劳动者、企业找政策、找服务”为“政策、服务找劳动者、找</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企业</w:t>
      </w:r>
      <w:r>
        <w:rPr>
          <w:rFonts w:hint="eastAsia" w:ascii="仿宋_GB2312" w:eastAsia="仿宋_GB2312"/>
          <w:color w:val="000000" w:themeColor="text1"/>
          <w:sz w:val="32"/>
          <w:szCs w:val="32"/>
          <w:highlight w:val="none"/>
          <w14:textFill>
            <w14:solidFill>
              <w14:schemeClr w14:val="tx1"/>
            </w14:solidFill>
          </w14:textFill>
        </w:rPr>
        <w:t>”，做到“有呼有应，随叫随到，服务周到”，擦亮就业专员服务名片。</w:t>
      </w:r>
    </w:p>
    <w:p>
      <w:pPr>
        <w:ind w:firstLine="643" w:firstLineChars="200"/>
        <w:outlineLvl w:val="2"/>
        <w:rPr>
          <w:rFonts w:ascii="仿宋_GB2312" w:eastAsia="仿宋_GB2312"/>
          <w:b/>
          <w:bCs/>
          <w:color w:val="000000" w:themeColor="text1"/>
          <w:sz w:val="32"/>
          <w:szCs w:val="32"/>
          <w:highlight w:val="none"/>
          <w14:textFill>
            <w14:solidFill>
              <w14:schemeClr w14:val="tx1"/>
            </w14:solidFill>
          </w14:textFill>
        </w:rPr>
      </w:pPr>
      <w:bookmarkStart w:id="88" w:name="_Toc72154944"/>
      <w:bookmarkStart w:id="89" w:name="_Toc63782012"/>
      <w:r>
        <w:rPr>
          <w:rFonts w:hint="eastAsia" w:ascii="仿宋_GB2312" w:eastAsia="仿宋_GB2312"/>
          <w:b/>
          <w:bCs/>
          <w:color w:val="000000" w:themeColor="text1"/>
          <w:sz w:val="32"/>
          <w:szCs w:val="32"/>
          <w:highlight w:val="none"/>
          <w14:textFill>
            <w14:solidFill>
              <w14:schemeClr w14:val="tx1"/>
            </w14:solidFill>
          </w14:textFill>
        </w:rPr>
        <w:t>3.推进智慧</w:t>
      </w:r>
      <w:r>
        <w:rPr>
          <w:rFonts w:ascii="仿宋_GB2312" w:eastAsia="仿宋_GB2312"/>
          <w:b/>
          <w:bCs/>
          <w:color w:val="000000" w:themeColor="text1"/>
          <w:sz w:val="32"/>
          <w:szCs w:val="32"/>
          <w:highlight w:val="none"/>
          <w14:textFill>
            <w14:solidFill>
              <w14:schemeClr w14:val="tx1"/>
            </w14:solidFill>
          </w14:textFill>
        </w:rPr>
        <w:t>人</w:t>
      </w:r>
      <w:r>
        <w:rPr>
          <w:rFonts w:hint="eastAsia" w:ascii="仿宋_GB2312" w:eastAsia="仿宋_GB2312"/>
          <w:b/>
          <w:bCs/>
          <w:color w:val="000000" w:themeColor="text1"/>
          <w:sz w:val="32"/>
          <w:szCs w:val="32"/>
          <w:highlight w:val="none"/>
          <w14:textFill>
            <w14:solidFill>
              <w14:schemeClr w14:val="tx1"/>
            </w14:solidFill>
          </w14:textFill>
        </w:rPr>
        <w:t>社</w:t>
      </w:r>
      <w:r>
        <w:rPr>
          <w:rFonts w:ascii="仿宋_GB2312" w:eastAsia="仿宋_GB2312"/>
          <w:b/>
          <w:bCs/>
          <w:color w:val="000000" w:themeColor="text1"/>
          <w:sz w:val="32"/>
          <w:szCs w:val="32"/>
          <w:highlight w:val="none"/>
          <w14:textFill>
            <w14:solidFill>
              <w14:schemeClr w14:val="tx1"/>
            </w14:solidFill>
          </w14:textFill>
        </w:rPr>
        <w:t>建设</w:t>
      </w:r>
      <w:r>
        <w:rPr>
          <w:rFonts w:hint="eastAsia" w:ascii="仿宋_GB2312" w:eastAsia="仿宋_GB2312"/>
          <w:b/>
          <w:bCs/>
          <w:color w:val="000000" w:themeColor="text1"/>
          <w:sz w:val="32"/>
          <w:szCs w:val="32"/>
          <w:highlight w:val="none"/>
          <w14:textFill>
            <w14:solidFill>
              <w14:schemeClr w14:val="tx1"/>
            </w14:solidFill>
          </w14:textFill>
        </w:rPr>
        <w:t>，提高</w:t>
      </w:r>
      <w:r>
        <w:rPr>
          <w:rFonts w:ascii="仿宋_GB2312" w:eastAsia="仿宋_GB2312"/>
          <w:b/>
          <w:bCs/>
          <w:color w:val="000000" w:themeColor="text1"/>
          <w:sz w:val="32"/>
          <w:szCs w:val="32"/>
          <w:highlight w:val="none"/>
          <w14:textFill>
            <w14:solidFill>
              <w14:schemeClr w14:val="tx1"/>
            </w14:solidFill>
          </w14:textFill>
        </w:rPr>
        <w:t>为民服务质量</w:t>
      </w:r>
      <w:bookmarkEnd w:id="88"/>
      <w:bookmarkEnd w:id="89"/>
    </w:p>
    <w:p>
      <w:pPr>
        <w:ind w:firstLine="643" w:firstLineChars="200"/>
        <w:outlineLvl w:val="3"/>
        <w:rPr>
          <w:rFonts w:ascii="仿宋_GB2312" w:hAnsi="宋体" w:eastAsia="仿宋_GB2312" w:cs="Times New Roman"/>
          <w:color w:val="000000" w:themeColor="text1"/>
          <w:sz w:val="32"/>
          <w:szCs w:val="32"/>
          <w:highlight w:val="none"/>
          <w14:textFill>
            <w14:solidFill>
              <w14:schemeClr w14:val="tx1"/>
            </w14:solidFill>
          </w14:textFill>
        </w:rPr>
      </w:pPr>
      <w:r>
        <w:rPr>
          <w:rFonts w:hint="eastAsia" w:ascii="仿宋_GB2312" w:hAnsi="宋体" w:eastAsia="仿宋_GB2312" w:cs="Times New Roman"/>
          <w:b/>
          <w:color w:val="000000" w:themeColor="text1"/>
          <w:sz w:val="32"/>
          <w:szCs w:val="32"/>
          <w:highlight w:val="none"/>
          <w14:textFill>
            <w14:solidFill>
              <w14:schemeClr w14:val="tx1"/>
            </w14:solidFill>
          </w14:textFill>
        </w:rPr>
        <w:t>加强</w:t>
      </w:r>
      <w:r>
        <w:rPr>
          <w:rFonts w:ascii="仿宋_GB2312" w:hAnsi="宋体" w:eastAsia="仿宋_GB2312" w:cs="Times New Roman"/>
          <w:b/>
          <w:color w:val="000000" w:themeColor="text1"/>
          <w:sz w:val="32"/>
          <w:szCs w:val="32"/>
          <w:highlight w:val="none"/>
          <w14:textFill>
            <w14:solidFill>
              <w14:schemeClr w14:val="tx1"/>
            </w14:solidFill>
          </w14:textFill>
        </w:rPr>
        <w:t>人社信息化</w:t>
      </w:r>
      <w:r>
        <w:rPr>
          <w:rFonts w:hint="eastAsia" w:ascii="仿宋_GB2312" w:hAnsi="宋体" w:eastAsia="仿宋_GB2312" w:cs="Times New Roman"/>
          <w:b/>
          <w:color w:val="000000" w:themeColor="text1"/>
          <w:sz w:val="32"/>
          <w:szCs w:val="32"/>
          <w:highlight w:val="none"/>
          <w14:textFill>
            <w14:solidFill>
              <w14:schemeClr w14:val="tx1"/>
            </w14:solidFill>
          </w14:textFill>
        </w:rPr>
        <w:t>能力</w:t>
      </w:r>
      <w:r>
        <w:rPr>
          <w:rFonts w:ascii="仿宋_GB2312" w:hAnsi="宋体" w:eastAsia="仿宋_GB2312" w:cs="Times New Roman"/>
          <w:b/>
          <w:color w:val="000000" w:themeColor="text1"/>
          <w:sz w:val="32"/>
          <w:szCs w:val="32"/>
          <w:highlight w:val="none"/>
          <w14:textFill>
            <w14:solidFill>
              <w14:schemeClr w14:val="tx1"/>
            </w14:solidFill>
          </w14:textFill>
        </w:rPr>
        <w:t>建设。</w:t>
      </w:r>
      <w:r>
        <w:rPr>
          <w:rFonts w:hint="eastAsia" w:ascii="仿宋_GB2312" w:hAnsi="宋体" w:eastAsia="仿宋_GB2312" w:cs="Times New Roman"/>
          <w:color w:val="000000" w:themeColor="text1"/>
          <w:sz w:val="32"/>
          <w:szCs w:val="32"/>
          <w:highlight w:val="none"/>
          <w14:textFill>
            <w14:solidFill>
              <w14:schemeClr w14:val="tx1"/>
            </w14:solidFill>
          </w14:textFill>
        </w:rPr>
        <w:t>积极落实“互联网+人社”行动，促进劳动就业、人才服务、社会保障等工作与网络深度融合。完善人力社保基础数据信息，为公共就业信息服务、社保关系转移接续等工作提供数据支持。优化公共服务信息平台，逐步实现线上线下服务渠道的有机衔接，形成跨领域、跨部门、跨层级的联动服务能力。</w:t>
      </w:r>
    </w:p>
    <w:p>
      <w:pPr>
        <w:ind w:firstLine="643" w:firstLineChars="200"/>
        <w:outlineLvl w:val="3"/>
        <w:rPr>
          <w:color w:val="000000" w:themeColor="text1"/>
          <w:sz w:val="32"/>
          <w:szCs w:val="32"/>
          <w:highlight w:val="none"/>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加大</w:t>
      </w:r>
      <w:r>
        <w:rPr>
          <w:rFonts w:ascii="仿宋_GB2312" w:eastAsia="仿宋_GB2312"/>
          <w:b/>
          <w:color w:val="000000" w:themeColor="text1"/>
          <w:sz w:val="32"/>
          <w:szCs w:val="32"/>
          <w:highlight w:val="none"/>
          <w14:textFill>
            <w14:solidFill>
              <w14:schemeClr w14:val="tx1"/>
            </w14:solidFill>
          </w14:textFill>
        </w:rPr>
        <w:t>人社信息化应用推广</w:t>
      </w:r>
      <w:r>
        <w:rPr>
          <w:rFonts w:hint="eastAsia" w:ascii="仿宋_GB2312" w:eastAsia="仿宋_GB2312"/>
          <w:b/>
          <w:color w:val="000000" w:themeColor="text1"/>
          <w:sz w:val="32"/>
          <w:szCs w:val="32"/>
          <w:highlight w:val="none"/>
          <w14:textFill>
            <w14:solidFill>
              <w14:schemeClr w14:val="tx1"/>
            </w14:solidFill>
          </w14:textFill>
        </w:rPr>
        <w:t>力度</w:t>
      </w:r>
      <w:r>
        <w:rPr>
          <w:rFonts w:ascii="仿宋_GB2312" w:eastAsia="仿宋_GB2312"/>
          <w:b/>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持续增加网上业务办理事项，</w:t>
      </w:r>
      <w:r>
        <w:rPr>
          <w:rFonts w:hint="eastAsia" w:ascii="仿宋_GB2312" w:hAnsi="宋体" w:eastAsia="仿宋_GB2312" w:cs="Times New Roman"/>
          <w:color w:val="000000" w:themeColor="text1"/>
          <w:sz w:val="32"/>
          <w:szCs w:val="32"/>
          <w:highlight w:val="none"/>
          <w14:textFill>
            <w14:solidFill>
              <w14:schemeClr w14:val="tx1"/>
            </w14:solidFill>
          </w14:textFill>
        </w:rPr>
        <w:t>引导人力社保业务由窗口办到线上办、由现场办到预约办，逐步提高网上经办率</w:t>
      </w:r>
      <w:r>
        <w:rPr>
          <w:rFonts w:hint="eastAsia" w:ascii="仿宋_GB2312" w:eastAsia="仿宋_GB2312"/>
          <w:color w:val="000000" w:themeColor="text1"/>
          <w:sz w:val="32"/>
          <w:szCs w:val="32"/>
          <w:highlight w:val="none"/>
          <w14:textFill>
            <w14:solidFill>
              <w14:schemeClr w14:val="tx1"/>
            </w14:solidFill>
          </w14:textFill>
        </w:rPr>
        <w:t>，把人社服务延伸到群众指尖。积极探索推广智能化</w:t>
      </w:r>
      <w:r>
        <w:rPr>
          <w:rFonts w:ascii="仿宋_GB2312" w:eastAsia="仿宋_GB2312"/>
          <w:color w:val="000000" w:themeColor="text1"/>
          <w:sz w:val="32"/>
          <w:szCs w:val="32"/>
          <w:highlight w:val="none"/>
          <w14:textFill>
            <w14:solidFill>
              <w14:schemeClr w14:val="tx1"/>
            </w14:solidFill>
          </w14:textFill>
        </w:rPr>
        <w:t>人社</w:t>
      </w:r>
      <w:r>
        <w:rPr>
          <w:rFonts w:hint="eastAsia" w:ascii="仿宋_GB2312" w:eastAsia="仿宋_GB2312"/>
          <w:color w:val="000000" w:themeColor="text1"/>
          <w:sz w:val="32"/>
          <w:szCs w:val="32"/>
          <w:highlight w:val="none"/>
          <w14:textFill>
            <w14:solidFill>
              <w14:schemeClr w14:val="tx1"/>
            </w14:solidFill>
          </w14:textFill>
        </w:rPr>
        <w:t>服务</w:t>
      </w:r>
      <w:r>
        <w:rPr>
          <w:rFonts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设立AI智能人社服务，形成7×24小时</w:t>
      </w:r>
      <w:r>
        <w:rPr>
          <w:rFonts w:ascii="仿宋_GB2312" w:eastAsia="仿宋_GB2312"/>
          <w:color w:val="000000" w:themeColor="text1"/>
          <w:sz w:val="32"/>
          <w:szCs w:val="32"/>
          <w:highlight w:val="none"/>
          <w14:textFill>
            <w14:solidFill>
              <w14:schemeClr w14:val="tx1"/>
            </w14:solidFill>
          </w14:textFill>
        </w:rPr>
        <w:t>在线智能咨询及办理模式。</w:t>
      </w:r>
    </w:p>
    <w:p>
      <w:pPr>
        <w:ind w:firstLine="640" w:firstLineChars="200"/>
        <w:outlineLvl w:val="0"/>
        <w:rPr>
          <w:rFonts w:ascii="Times New Roman" w:hAnsi="Times New Roman" w:eastAsia="黑体" w:cs="Times New Roman"/>
          <w:color w:val="000000" w:themeColor="text1"/>
          <w:sz w:val="32"/>
          <w:szCs w:val="32"/>
          <w:highlight w:val="none"/>
          <w14:textFill>
            <w14:solidFill>
              <w14:schemeClr w14:val="tx1"/>
            </w14:solidFill>
          </w14:textFill>
        </w:rPr>
      </w:pPr>
      <w:bookmarkStart w:id="90" w:name="_Toc63782013"/>
      <w:bookmarkStart w:id="91" w:name="_Toc72154945"/>
      <w:r>
        <w:rPr>
          <w:rFonts w:hint="eastAsia" w:ascii="Times New Roman" w:hAnsi="Times New Roman" w:eastAsia="黑体" w:cs="Times New Roman"/>
          <w:color w:val="000000" w:themeColor="text1"/>
          <w:sz w:val="32"/>
          <w:szCs w:val="32"/>
          <w:highlight w:val="none"/>
          <w14:textFill>
            <w14:solidFill>
              <w14:schemeClr w14:val="tx1"/>
            </w14:solidFill>
          </w14:textFill>
        </w:rPr>
        <w:t>五</w:t>
      </w:r>
      <w:r>
        <w:rPr>
          <w:rFonts w:ascii="Times New Roman" w:hAnsi="Times New Roman" w:eastAsia="黑体" w:cs="Times New Roman"/>
          <w:color w:val="000000" w:themeColor="text1"/>
          <w:sz w:val="32"/>
          <w:szCs w:val="32"/>
          <w:highlight w:val="none"/>
          <w14:textFill>
            <w14:solidFill>
              <w14:schemeClr w14:val="tx1"/>
            </w14:solidFill>
          </w14:textFill>
        </w:rPr>
        <w:t>、保障措施</w:t>
      </w:r>
      <w:bookmarkEnd w:id="90"/>
      <w:bookmarkEnd w:id="91"/>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92" w:name="_Toc63782014"/>
      <w:bookmarkStart w:id="93" w:name="_Toc72154946"/>
      <w:bookmarkStart w:id="94" w:name="_Toc49460194"/>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（一）突出党建引领</w:t>
      </w:r>
      <w:bookmarkEnd w:id="92"/>
      <w:bookmarkEnd w:id="93"/>
    </w:p>
    <w:p>
      <w:pPr>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坚持党的全面领导，不折不扣贯彻落实党的路线方针政策，确保党中央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市委</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和</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区委决策部署落实落地。夯实组织建设，充分发挥党支部战斗堡垒作用和党员先锋模范作用。围绕社保基金、就业培训资金监管、人事考试等重点领域和环节，加强作风建设。持续开展“局科长走流程”专项活动，强化宗旨意识，提高服务能力，切实解决企业群众关心的实际问题。</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95" w:name="_Toc63782015"/>
      <w:bookmarkStart w:id="96" w:name="_Toc72154947"/>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二</w:t>
      </w:r>
      <w:r>
        <w:rPr>
          <w:rFonts w:ascii="Times New Roman" w:hAnsi="Times New Roman" w:eastAsia="楷体_GB2312" w:cs="Times New Roman"/>
          <w:bCs/>
          <w:color w:val="000000" w:themeColor="text1"/>
          <w:sz w:val="32"/>
          <w:szCs w:val="32"/>
          <w:highlight w:val="none"/>
          <w14:textFill>
            <w14:solidFill>
              <w14:schemeClr w14:val="tx1"/>
            </w14:solidFill>
          </w14:textFill>
        </w:rPr>
        <w:t>）加强组织领导</w:t>
      </w:r>
      <w:bookmarkEnd w:id="94"/>
      <w:bookmarkEnd w:id="95"/>
      <w:bookmarkEnd w:id="96"/>
    </w:p>
    <w:p>
      <w:pPr>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充分发挥区就业工作领导小组、</w:t>
      </w:r>
      <w:r>
        <w:rPr>
          <w:rFonts w:hint="eastAsia" w:ascii="仿宋_GB2312" w:hAnsi="仿宋_GB2312" w:eastAsia="仿宋_GB2312" w:cs="仿宋_GB2312"/>
          <w:color w:val="000000" w:themeColor="text1"/>
          <w:sz w:val="32"/>
          <w:szCs w:val="32"/>
          <w:highlight w:val="none"/>
          <w14:textFill>
            <w14:solidFill>
              <w14:schemeClr w14:val="tx1"/>
            </w14:solidFill>
          </w14:textFill>
        </w:rPr>
        <w:t>农民工工作联席会</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根治拖欠农民工工资工作协调小组</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的统筹协调作用，确保规划目标顺利完成。强化规划任务的执行落实，努力把规划重点指标的完成情况纳入政府绩效考核评价体系，推动规划有效实施。</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97" w:name="_Toc72154948"/>
      <w:bookmarkStart w:id="98" w:name="_Toc63782016"/>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（三）强化法治保障</w:t>
      </w:r>
      <w:bookmarkEnd w:id="97"/>
      <w:bookmarkEnd w:id="98"/>
    </w:p>
    <w:p>
      <w:pPr>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bookmarkStart w:id="99" w:name="_Toc63782017"/>
      <w:bookmarkStart w:id="100" w:name="_Toc49460196"/>
      <w:r>
        <w:rPr>
          <w:rFonts w:hint="eastAsia" w:ascii="仿宋_GB2312" w:eastAsia="仿宋_GB2312"/>
          <w:color w:val="000000" w:themeColor="text1"/>
          <w:kern w:val="0"/>
          <w:sz w:val="32"/>
          <w:szCs w:val="32"/>
          <w:highlight w:val="none"/>
          <w14:textFill>
            <w14:solidFill>
              <w14:schemeClr w14:val="tx1"/>
            </w14:solidFill>
          </w14:textFill>
        </w:rPr>
        <w:t>推动就业创业、劳动关系、人才人事、社会保障等领域制度建设。健全决策机制，严格规范性文件合法性审查工作。落实行政执法公示制度、执法全过程记录制度和重大执法决定法制审核制度。建立高效的法治实施体系，规范行政执法行为，完善部门联合执法、行政执法与刑事司法衔接机制。健全行政执法裁量基准制度，组织开展行政执法案卷评查工作。落实“放管服”工作，不断优化营商环境，完善事中事后执法监管机制。实施“八五”普法规划，切实增强法治宣传实效，营造良好的法治氛围。</w:t>
      </w:r>
    </w:p>
    <w:p>
      <w:pPr>
        <w:ind w:firstLine="640" w:firstLineChars="200"/>
        <w:outlineLvl w:val="1"/>
        <w:rPr>
          <w:rFonts w:ascii="Times New Roman" w:hAnsi="Times New Roman" w:eastAsia="楷体_GB2312" w:cs="Times New Roman"/>
          <w:bCs/>
          <w:color w:val="000000" w:themeColor="text1"/>
          <w:sz w:val="32"/>
          <w:szCs w:val="32"/>
          <w:highlight w:val="none"/>
          <w14:textFill>
            <w14:solidFill>
              <w14:schemeClr w14:val="tx1"/>
            </w14:solidFill>
          </w14:textFill>
        </w:rPr>
      </w:pPr>
      <w:bookmarkStart w:id="101" w:name="_Toc72154949"/>
      <w:r>
        <w:rPr>
          <w:rFonts w:ascii="Times New Roman" w:hAnsi="Times New Roman" w:eastAsia="楷体_GB2312" w:cs="Times New Roman"/>
          <w:bCs/>
          <w:color w:val="000000" w:themeColor="text1"/>
          <w:sz w:val="32"/>
          <w:szCs w:val="32"/>
          <w:highlight w:val="none"/>
          <w14:textFill>
            <w14:solidFill>
              <w14:schemeClr w14:val="tx1"/>
            </w14:solidFill>
          </w14:textFill>
        </w:rPr>
        <w:t>（</w:t>
      </w:r>
      <w:r>
        <w:rPr>
          <w:rFonts w:hint="eastAsia" w:ascii="Times New Roman" w:hAnsi="Times New Roman" w:eastAsia="楷体_GB2312" w:cs="Times New Roman"/>
          <w:bCs/>
          <w:color w:val="000000" w:themeColor="text1"/>
          <w:sz w:val="32"/>
          <w:szCs w:val="32"/>
          <w:highlight w:val="none"/>
          <w14:textFill>
            <w14:solidFill>
              <w14:schemeClr w14:val="tx1"/>
            </w14:solidFill>
          </w14:textFill>
        </w:rPr>
        <w:t>四</w:t>
      </w:r>
      <w:r>
        <w:rPr>
          <w:rFonts w:ascii="Times New Roman" w:hAnsi="Times New Roman" w:eastAsia="楷体_GB2312" w:cs="Times New Roman"/>
          <w:bCs/>
          <w:color w:val="000000" w:themeColor="text1"/>
          <w:sz w:val="32"/>
          <w:szCs w:val="32"/>
          <w:highlight w:val="none"/>
          <w14:textFill>
            <w14:solidFill>
              <w14:schemeClr w14:val="tx1"/>
            </w14:solidFill>
          </w14:textFill>
        </w:rPr>
        <w:t>）加大财政投入</w:t>
      </w:r>
      <w:bookmarkEnd w:id="99"/>
      <w:bookmarkEnd w:id="100"/>
      <w:bookmarkEnd w:id="101"/>
    </w:p>
    <w:p>
      <w:pPr>
        <w:ind w:firstLine="640" w:firstLineChars="20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结合人力社保事业发展需求，建立与经济发展水平相匹配的资金投入稳定增长机制。加大对就业创业、劳动关系、人才人事、社会保障等重点领域的支持力度，保障重大改革、重点项目顺利实施。加大对人力社保公共服务的经费投入，强化资金监管，严格绩效考评，提升资金使用效率。</w:t>
      </w:r>
    </w:p>
    <w:p>
      <w:pPr>
        <w:ind w:firstLine="640" w:firstLineChars="200"/>
        <w:outlineLvl w:val="1"/>
        <w:rPr>
          <w:rFonts w:ascii="楷体_GB2312" w:hAnsi="楷体_GB2312" w:eastAsia="楷体_GB2312" w:cs="楷体_GB2312"/>
          <w:color w:val="000000" w:themeColor="text1"/>
          <w:sz w:val="32"/>
          <w:szCs w:val="32"/>
          <w:highlight w:val="none"/>
          <w14:textFill>
            <w14:solidFill>
              <w14:schemeClr w14:val="tx1"/>
            </w14:solidFill>
          </w14:textFill>
        </w:rPr>
      </w:pPr>
      <w:bookmarkStart w:id="102" w:name="_Toc55397934"/>
      <w:bookmarkStart w:id="103" w:name="_Toc45132178"/>
      <w:bookmarkStart w:id="104" w:name="_Toc72154950"/>
      <w:bookmarkStart w:id="105" w:name="_Toc51946335"/>
      <w:bookmarkStart w:id="106" w:name="_Toc63782018"/>
      <w:bookmarkStart w:id="107" w:name="_Toc44236984"/>
      <w:bookmarkStart w:id="108" w:name="_Toc53739224"/>
      <w:bookmarkStart w:id="109" w:name="_Toc57491275"/>
      <w:r>
        <w:rPr>
          <w:rFonts w:hint="eastAsia" w:ascii="楷体_GB2312" w:hAnsi="楷体_GB2312" w:eastAsia="楷体_GB2312" w:cs="楷体_GB2312"/>
          <w:color w:val="000000" w:themeColor="text1"/>
          <w:sz w:val="32"/>
          <w:szCs w:val="32"/>
          <w:highlight w:val="none"/>
          <w14:textFill>
            <w14:solidFill>
              <w14:schemeClr w14:val="tx1"/>
            </w14:solidFill>
          </w14:textFill>
        </w:rPr>
        <w:t>（五）注重</w:t>
      </w:r>
      <w:r>
        <w:rPr>
          <w:rFonts w:hint="eastAsia" w:ascii="楷体_GB2312" w:hAnsi="宋体" w:eastAsia="楷体_GB2312"/>
          <w:color w:val="000000" w:themeColor="text1"/>
          <w:sz w:val="32"/>
          <w:szCs w:val="32"/>
          <w:highlight w:val="none"/>
          <w14:textFill>
            <w14:solidFill>
              <w14:schemeClr w14:val="tx1"/>
            </w14:solidFill>
          </w14:textFill>
        </w:rPr>
        <w:t>监测</w:t>
      </w:r>
      <w:r>
        <w:rPr>
          <w:rFonts w:hint="eastAsia" w:ascii="楷体_GB2312" w:hAnsi="楷体_GB2312" w:eastAsia="楷体_GB2312" w:cs="楷体_GB2312"/>
          <w:color w:val="000000" w:themeColor="text1"/>
          <w:sz w:val="32"/>
          <w:szCs w:val="32"/>
          <w:highlight w:val="none"/>
          <w14:textFill>
            <w14:solidFill>
              <w14:schemeClr w14:val="tx1"/>
            </w14:solidFill>
          </w14:textFill>
        </w:rPr>
        <w:t>评估</w:t>
      </w:r>
      <w:bookmarkEnd w:id="102"/>
      <w:bookmarkEnd w:id="103"/>
      <w:bookmarkEnd w:id="104"/>
      <w:bookmarkEnd w:id="105"/>
      <w:bookmarkEnd w:id="106"/>
      <w:bookmarkEnd w:id="107"/>
      <w:bookmarkEnd w:id="108"/>
      <w:bookmarkEnd w:id="109"/>
    </w:p>
    <w:p>
      <w:pPr>
        <w:ind w:firstLine="640" w:firstLineChars="200"/>
        <w:rPr>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建立规划执行情况定期监测评估机制，</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根据评估结果适时适当调整规划内容。加强全区人力社保资源的数据化管理，开展监测分析、预警研判，提高工作精准度和有效性。</w:t>
      </w:r>
      <w:r>
        <w:rPr>
          <w:rFonts w:ascii="Times New Roman" w:hAnsi="Times New Roman" w:eastAsia="仿宋_GB2312" w:cs="Times New Roman"/>
          <w:color w:val="000000" w:themeColor="text1"/>
          <w:sz w:val="32"/>
          <w:szCs w:val="32"/>
          <w:highlight w:val="none"/>
          <w14:textFill>
            <w14:solidFill>
              <w14:schemeClr w14:val="tx1"/>
            </w14:solidFill>
          </w14:textFill>
        </w:rPr>
        <w:t>针对发展</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中</w:t>
      </w:r>
      <w:r>
        <w:rPr>
          <w:rFonts w:ascii="Times New Roman" w:hAnsi="Times New Roman" w:eastAsia="仿宋_GB2312" w:cs="Times New Roman"/>
          <w:color w:val="000000" w:themeColor="text1"/>
          <w:sz w:val="32"/>
          <w:szCs w:val="32"/>
          <w:highlight w:val="none"/>
          <w14:textFill>
            <w14:solidFill>
              <w14:schemeClr w14:val="tx1"/>
            </w14:solidFill>
          </w14:textFill>
        </w:rPr>
        <w:t>出现的热点难点问题，及时</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开展</w:t>
      </w:r>
      <w:r>
        <w:rPr>
          <w:rFonts w:ascii="Times New Roman" w:hAnsi="Times New Roman" w:eastAsia="仿宋_GB2312" w:cs="Times New Roman"/>
          <w:color w:val="000000" w:themeColor="text1"/>
          <w:sz w:val="32"/>
          <w:szCs w:val="32"/>
          <w:highlight w:val="none"/>
          <w14:textFill>
            <w14:solidFill>
              <w14:schemeClr w14:val="tx1"/>
            </w14:solidFill>
          </w14:textFill>
        </w:rPr>
        <w:t>调查研究，</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充分发挥“外脑”作用，</w:t>
      </w:r>
      <w:r>
        <w:rPr>
          <w:rFonts w:ascii="Times New Roman" w:hAnsi="Times New Roman" w:eastAsia="仿宋_GB2312" w:cs="Times New Roman"/>
          <w:color w:val="000000" w:themeColor="text1"/>
          <w:sz w:val="32"/>
          <w:szCs w:val="32"/>
          <w:highlight w:val="none"/>
          <w14:textFill>
            <w14:solidFill>
              <w14:schemeClr w14:val="tx1"/>
            </w14:solidFill>
          </w14:textFill>
        </w:rPr>
        <w:t>形成辅助科学决策的合力。</w:t>
      </w:r>
    </w:p>
    <w:sectPr>
      <w:headerReference r:id="rId12" w:type="first"/>
      <w:footerReference r:id="rId15" w:type="first"/>
      <w:headerReference r:id="rId10" w:type="default"/>
      <w:footerReference r:id="rId13" w:type="default"/>
      <w:headerReference r:id="rId11" w:type="even"/>
      <w:footerReference r:id="rId14"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6172520"/>
    </w:sdtPr>
    <w:sdtContent>
      <w:p>
        <w:pPr>
          <w:pStyle w:val="14"/>
          <w:ind w:firstLine="360"/>
          <w:jc w:val="center"/>
        </w:pPr>
        <w:r>
          <w:rPr>
            <w:sz w:val="21"/>
          </w:rPr>
          <w:fldChar w:fldCharType="begin"/>
        </w:r>
        <w:r>
          <w:rPr>
            <w:sz w:val="21"/>
          </w:rPr>
          <w:instrText xml:space="preserve"> PAGE   \* MERGEFORMAT </w:instrText>
        </w:r>
        <w:r>
          <w:rPr>
            <w:sz w:val="21"/>
          </w:rPr>
          <w:fldChar w:fldCharType="separate"/>
        </w:r>
        <w:r>
          <w:rPr>
            <w:sz w:val="21"/>
            <w:lang w:val="zh-CN"/>
          </w:rPr>
          <w:t>2</w:t>
        </w:r>
        <w:r>
          <w:rPr>
            <w:sz w:val="21"/>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6900479"/>
    </w:sdtPr>
    <w:sdtContent>
      <w:p>
        <w:pPr>
          <w:pStyle w:val="14"/>
          <w:ind w:firstLine="360"/>
          <w:jc w:val="center"/>
        </w:pPr>
        <w:r>
          <w:rPr>
            <w:sz w:val="21"/>
          </w:rPr>
          <w:fldChar w:fldCharType="begin"/>
        </w:r>
        <w:r>
          <w:rPr>
            <w:sz w:val="21"/>
          </w:rPr>
          <w:instrText xml:space="preserve"> PAGE   \* MERGEFORMAT </w:instrText>
        </w:r>
        <w:r>
          <w:rPr>
            <w:sz w:val="21"/>
          </w:rPr>
          <w:fldChar w:fldCharType="separate"/>
        </w:r>
        <w:r>
          <w:rPr>
            <w:sz w:val="21"/>
            <w:lang w:val="zh-CN"/>
          </w:rPr>
          <w:t>I</w:t>
        </w:r>
        <w:r>
          <w:rPr>
            <w:sz w:val="21"/>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pPr>
    <w:r>
      <w:fldChar w:fldCharType="begin"/>
    </w:r>
    <w:r>
      <w:instrText xml:space="preserve">PAGE   \* MERGEFORMAT</w:instrText>
    </w:r>
    <w:r>
      <w:fldChar w:fldCharType="separate"/>
    </w:r>
    <w:r>
      <w:rPr>
        <w:lang w:val="zh-CN"/>
      </w:rPr>
      <w:t>16</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8"/>
      <w:tblW w:w="8306" w:type="dxa"/>
      <w:tblInd w:w="0" w:type="dxa"/>
      <w:tblBorders>
        <w:top w:val="none" w:color="auto" w:sz="0" w:space="0"/>
        <w:left w:val="none" w:color="auto" w:sz="0" w:space="0"/>
        <w:bottom w:val="none" w:color="auto" w:sz="0"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306"/>
    </w:tblGrid>
    <w:tr>
      <w:tblPrEx>
        <w:tblBorders>
          <w:top w:val="none" w:color="auto" w:sz="0" w:space="0"/>
          <w:left w:val="none" w:color="auto" w:sz="0" w:space="0"/>
          <w:bottom w:val="none" w:color="auto" w:sz="0"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306" w:type="dxa"/>
        </w:tcPr>
        <w:p>
          <w:pPr>
            <w:rPr>
              <w:rFonts w:ascii="Calibri" w:hAnsi="Calibri" w:eastAsia="宋体" w:cs="宋体"/>
              <w:kern w:val="0"/>
              <w:sz w:val="2"/>
              <w:szCs w:val="20"/>
            </w:rPr>
          </w:pPr>
        </w:p>
      </w:tc>
    </w:tr>
  </w:tbl>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8"/>
      <w:tblW w:w="8306" w:type="dxa"/>
      <w:tblInd w:w="0" w:type="dxa"/>
      <w:tblBorders>
        <w:top w:val="none" w:color="auto" w:sz="0" w:space="0"/>
        <w:left w:val="none" w:color="auto" w:sz="0" w:space="0"/>
        <w:bottom w:val="none" w:color="auto" w:sz="0"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306"/>
    </w:tblGrid>
    <w:tr>
      <w:tblPrEx>
        <w:tblBorders>
          <w:top w:val="none" w:color="auto" w:sz="0" w:space="0"/>
          <w:left w:val="none" w:color="auto" w:sz="0" w:space="0"/>
          <w:bottom w:val="none" w:color="auto" w:sz="0"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306" w:type="dxa"/>
        </w:tcPr>
        <w:p>
          <w:pPr>
            <w:pStyle w:val="15"/>
            <w:pBdr>
              <w:bottom w:val="none" w:color="auto" w:sz="0" w:space="0"/>
            </w:pBdr>
            <w:ind w:firstLine="40"/>
            <w:rPr>
              <w:kern w:val="0"/>
              <w:sz w:val="2"/>
            </w:rPr>
          </w:pPr>
        </w:p>
      </w:tc>
    </w:tr>
  </w:tbl>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727"/>
    <w:rsid w:val="00000438"/>
    <w:rsid w:val="0000109F"/>
    <w:rsid w:val="00001BA3"/>
    <w:rsid w:val="00002902"/>
    <w:rsid w:val="00002BFB"/>
    <w:rsid w:val="000035B7"/>
    <w:rsid w:val="000040B0"/>
    <w:rsid w:val="00004B5E"/>
    <w:rsid w:val="00005B4F"/>
    <w:rsid w:val="000066C1"/>
    <w:rsid w:val="00006965"/>
    <w:rsid w:val="000075DD"/>
    <w:rsid w:val="0001019A"/>
    <w:rsid w:val="000107B9"/>
    <w:rsid w:val="00012979"/>
    <w:rsid w:val="000129D4"/>
    <w:rsid w:val="000133B2"/>
    <w:rsid w:val="00013A4B"/>
    <w:rsid w:val="00015C9F"/>
    <w:rsid w:val="00015CAC"/>
    <w:rsid w:val="00016978"/>
    <w:rsid w:val="000176D1"/>
    <w:rsid w:val="0002141C"/>
    <w:rsid w:val="00021C0E"/>
    <w:rsid w:val="00023FBC"/>
    <w:rsid w:val="00024F10"/>
    <w:rsid w:val="00024F56"/>
    <w:rsid w:val="00026291"/>
    <w:rsid w:val="00026D81"/>
    <w:rsid w:val="00031739"/>
    <w:rsid w:val="00033EE1"/>
    <w:rsid w:val="00035F38"/>
    <w:rsid w:val="000360F8"/>
    <w:rsid w:val="00036DED"/>
    <w:rsid w:val="000407FA"/>
    <w:rsid w:val="00040945"/>
    <w:rsid w:val="00042413"/>
    <w:rsid w:val="00042540"/>
    <w:rsid w:val="0004358A"/>
    <w:rsid w:val="0004406B"/>
    <w:rsid w:val="00044B06"/>
    <w:rsid w:val="00045229"/>
    <w:rsid w:val="00045D41"/>
    <w:rsid w:val="000471AF"/>
    <w:rsid w:val="00052C3C"/>
    <w:rsid w:val="0005392C"/>
    <w:rsid w:val="00054451"/>
    <w:rsid w:val="00054495"/>
    <w:rsid w:val="00054620"/>
    <w:rsid w:val="0005486F"/>
    <w:rsid w:val="000555A8"/>
    <w:rsid w:val="00056F6D"/>
    <w:rsid w:val="00057086"/>
    <w:rsid w:val="00057E81"/>
    <w:rsid w:val="00060015"/>
    <w:rsid w:val="0006143E"/>
    <w:rsid w:val="00062065"/>
    <w:rsid w:val="00062171"/>
    <w:rsid w:val="00062634"/>
    <w:rsid w:val="00062696"/>
    <w:rsid w:val="000633CA"/>
    <w:rsid w:val="00063BA1"/>
    <w:rsid w:val="00063D8B"/>
    <w:rsid w:val="00064A28"/>
    <w:rsid w:val="00064A38"/>
    <w:rsid w:val="00070113"/>
    <w:rsid w:val="00071134"/>
    <w:rsid w:val="0007189C"/>
    <w:rsid w:val="00071985"/>
    <w:rsid w:val="00071D94"/>
    <w:rsid w:val="00074CCB"/>
    <w:rsid w:val="00074ED4"/>
    <w:rsid w:val="000750E7"/>
    <w:rsid w:val="00076235"/>
    <w:rsid w:val="00076E2E"/>
    <w:rsid w:val="000774C1"/>
    <w:rsid w:val="00077A31"/>
    <w:rsid w:val="00081BA9"/>
    <w:rsid w:val="00086D62"/>
    <w:rsid w:val="00087E3D"/>
    <w:rsid w:val="000925D4"/>
    <w:rsid w:val="00093A31"/>
    <w:rsid w:val="00094C58"/>
    <w:rsid w:val="000953E7"/>
    <w:rsid w:val="00095A7C"/>
    <w:rsid w:val="00095C66"/>
    <w:rsid w:val="000A09FA"/>
    <w:rsid w:val="000A0EE4"/>
    <w:rsid w:val="000A2108"/>
    <w:rsid w:val="000A27E6"/>
    <w:rsid w:val="000A2C64"/>
    <w:rsid w:val="000A2FC5"/>
    <w:rsid w:val="000A4261"/>
    <w:rsid w:val="000A443E"/>
    <w:rsid w:val="000A4705"/>
    <w:rsid w:val="000A47BA"/>
    <w:rsid w:val="000A4BF8"/>
    <w:rsid w:val="000A7017"/>
    <w:rsid w:val="000B21BE"/>
    <w:rsid w:val="000B2798"/>
    <w:rsid w:val="000B3BB8"/>
    <w:rsid w:val="000B3E4D"/>
    <w:rsid w:val="000B4710"/>
    <w:rsid w:val="000B48D8"/>
    <w:rsid w:val="000B6159"/>
    <w:rsid w:val="000C050D"/>
    <w:rsid w:val="000C06BE"/>
    <w:rsid w:val="000C07A5"/>
    <w:rsid w:val="000C0F17"/>
    <w:rsid w:val="000C1996"/>
    <w:rsid w:val="000C1C92"/>
    <w:rsid w:val="000C3BC5"/>
    <w:rsid w:val="000C4CD3"/>
    <w:rsid w:val="000C54E7"/>
    <w:rsid w:val="000C7BC3"/>
    <w:rsid w:val="000C7D13"/>
    <w:rsid w:val="000D4E2E"/>
    <w:rsid w:val="000D5BE8"/>
    <w:rsid w:val="000D5F32"/>
    <w:rsid w:val="000D5FE0"/>
    <w:rsid w:val="000D63E6"/>
    <w:rsid w:val="000D6D22"/>
    <w:rsid w:val="000D6FF6"/>
    <w:rsid w:val="000D783E"/>
    <w:rsid w:val="000D7F47"/>
    <w:rsid w:val="000D7FE3"/>
    <w:rsid w:val="000E0B69"/>
    <w:rsid w:val="000E59DD"/>
    <w:rsid w:val="000E5D84"/>
    <w:rsid w:val="000F0B96"/>
    <w:rsid w:val="000F3DC3"/>
    <w:rsid w:val="000F562B"/>
    <w:rsid w:val="000F669C"/>
    <w:rsid w:val="000F6ABE"/>
    <w:rsid w:val="000F6E52"/>
    <w:rsid w:val="000F70BE"/>
    <w:rsid w:val="000F7876"/>
    <w:rsid w:val="0010005C"/>
    <w:rsid w:val="001014D0"/>
    <w:rsid w:val="0010247B"/>
    <w:rsid w:val="001032AF"/>
    <w:rsid w:val="001048FF"/>
    <w:rsid w:val="001066C6"/>
    <w:rsid w:val="001066F1"/>
    <w:rsid w:val="001111CC"/>
    <w:rsid w:val="00111B1E"/>
    <w:rsid w:val="00111B95"/>
    <w:rsid w:val="00111FC7"/>
    <w:rsid w:val="0011217B"/>
    <w:rsid w:val="00112764"/>
    <w:rsid w:val="00113EAC"/>
    <w:rsid w:val="00116667"/>
    <w:rsid w:val="001169AC"/>
    <w:rsid w:val="00117CA8"/>
    <w:rsid w:val="00117DBE"/>
    <w:rsid w:val="0012096E"/>
    <w:rsid w:val="00120D90"/>
    <w:rsid w:val="00126EC4"/>
    <w:rsid w:val="00130129"/>
    <w:rsid w:val="00130AF4"/>
    <w:rsid w:val="00131911"/>
    <w:rsid w:val="00131B86"/>
    <w:rsid w:val="00132662"/>
    <w:rsid w:val="00133FC2"/>
    <w:rsid w:val="00140145"/>
    <w:rsid w:val="00140F7B"/>
    <w:rsid w:val="00141BFE"/>
    <w:rsid w:val="0014329E"/>
    <w:rsid w:val="001432E4"/>
    <w:rsid w:val="001439A1"/>
    <w:rsid w:val="00144F2B"/>
    <w:rsid w:val="00146EFE"/>
    <w:rsid w:val="00147762"/>
    <w:rsid w:val="00151129"/>
    <w:rsid w:val="0015367D"/>
    <w:rsid w:val="00153808"/>
    <w:rsid w:val="001540CB"/>
    <w:rsid w:val="00156F49"/>
    <w:rsid w:val="0015777C"/>
    <w:rsid w:val="00157B6C"/>
    <w:rsid w:val="001601B8"/>
    <w:rsid w:val="00160DE5"/>
    <w:rsid w:val="0016219C"/>
    <w:rsid w:val="00163E40"/>
    <w:rsid w:val="001642DC"/>
    <w:rsid w:val="001647EC"/>
    <w:rsid w:val="001667BF"/>
    <w:rsid w:val="0016780B"/>
    <w:rsid w:val="00167BA6"/>
    <w:rsid w:val="00174CD6"/>
    <w:rsid w:val="001756AD"/>
    <w:rsid w:val="00176B2F"/>
    <w:rsid w:val="00177181"/>
    <w:rsid w:val="001779CF"/>
    <w:rsid w:val="0018038B"/>
    <w:rsid w:val="00180FCD"/>
    <w:rsid w:val="00182EA9"/>
    <w:rsid w:val="00184489"/>
    <w:rsid w:val="00184A32"/>
    <w:rsid w:val="0018538C"/>
    <w:rsid w:val="001902A1"/>
    <w:rsid w:val="00191DBE"/>
    <w:rsid w:val="00191E43"/>
    <w:rsid w:val="00192846"/>
    <w:rsid w:val="00194A5A"/>
    <w:rsid w:val="00194EA1"/>
    <w:rsid w:val="0019560D"/>
    <w:rsid w:val="00196473"/>
    <w:rsid w:val="001966B9"/>
    <w:rsid w:val="001976AB"/>
    <w:rsid w:val="00197C78"/>
    <w:rsid w:val="00197D90"/>
    <w:rsid w:val="00197F51"/>
    <w:rsid w:val="001A0C56"/>
    <w:rsid w:val="001A1F05"/>
    <w:rsid w:val="001A4690"/>
    <w:rsid w:val="001A5099"/>
    <w:rsid w:val="001A5A54"/>
    <w:rsid w:val="001A6098"/>
    <w:rsid w:val="001A6BC3"/>
    <w:rsid w:val="001A783D"/>
    <w:rsid w:val="001B1D85"/>
    <w:rsid w:val="001B1EDD"/>
    <w:rsid w:val="001B2742"/>
    <w:rsid w:val="001B2D82"/>
    <w:rsid w:val="001B34F9"/>
    <w:rsid w:val="001B3BA2"/>
    <w:rsid w:val="001B7C78"/>
    <w:rsid w:val="001C1D50"/>
    <w:rsid w:val="001C26CA"/>
    <w:rsid w:val="001C2C3F"/>
    <w:rsid w:val="001C3CDF"/>
    <w:rsid w:val="001C3F24"/>
    <w:rsid w:val="001C4392"/>
    <w:rsid w:val="001C4550"/>
    <w:rsid w:val="001C5D72"/>
    <w:rsid w:val="001C5E25"/>
    <w:rsid w:val="001C6E7C"/>
    <w:rsid w:val="001C7A14"/>
    <w:rsid w:val="001D17BB"/>
    <w:rsid w:val="001D1EF0"/>
    <w:rsid w:val="001D27A1"/>
    <w:rsid w:val="001D45D3"/>
    <w:rsid w:val="001D5E2F"/>
    <w:rsid w:val="001D6C81"/>
    <w:rsid w:val="001E172C"/>
    <w:rsid w:val="001E35F4"/>
    <w:rsid w:val="001E62A6"/>
    <w:rsid w:val="001E7B0F"/>
    <w:rsid w:val="001E7B96"/>
    <w:rsid w:val="001E7E9B"/>
    <w:rsid w:val="001F0D45"/>
    <w:rsid w:val="001F1AD1"/>
    <w:rsid w:val="001F2E77"/>
    <w:rsid w:val="001F412A"/>
    <w:rsid w:val="001F41B3"/>
    <w:rsid w:val="001F5B8C"/>
    <w:rsid w:val="001F6683"/>
    <w:rsid w:val="001F6A17"/>
    <w:rsid w:val="00201AE8"/>
    <w:rsid w:val="00202317"/>
    <w:rsid w:val="0020471D"/>
    <w:rsid w:val="0020701C"/>
    <w:rsid w:val="00212650"/>
    <w:rsid w:val="00212DD5"/>
    <w:rsid w:val="00213169"/>
    <w:rsid w:val="0021341B"/>
    <w:rsid w:val="00214453"/>
    <w:rsid w:val="00215C2C"/>
    <w:rsid w:val="002161B3"/>
    <w:rsid w:val="00216355"/>
    <w:rsid w:val="00216512"/>
    <w:rsid w:val="002171AA"/>
    <w:rsid w:val="00220B87"/>
    <w:rsid w:val="00221761"/>
    <w:rsid w:val="00222D24"/>
    <w:rsid w:val="00222DAF"/>
    <w:rsid w:val="00222F30"/>
    <w:rsid w:val="00222F48"/>
    <w:rsid w:val="002236E5"/>
    <w:rsid w:val="002266C9"/>
    <w:rsid w:val="002270C9"/>
    <w:rsid w:val="00227780"/>
    <w:rsid w:val="00227A20"/>
    <w:rsid w:val="0023188A"/>
    <w:rsid w:val="00232A2E"/>
    <w:rsid w:val="00233B87"/>
    <w:rsid w:val="002354EC"/>
    <w:rsid w:val="0023618E"/>
    <w:rsid w:val="00240795"/>
    <w:rsid w:val="00241EA4"/>
    <w:rsid w:val="00245363"/>
    <w:rsid w:val="002469AA"/>
    <w:rsid w:val="00250495"/>
    <w:rsid w:val="00251319"/>
    <w:rsid w:val="00251FA6"/>
    <w:rsid w:val="002535A4"/>
    <w:rsid w:val="00254A63"/>
    <w:rsid w:val="00254B2F"/>
    <w:rsid w:val="00257523"/>
    <w:rsid w:val="00257BDA"/>
    <w:rsid w:val="00257C01"/>
    <w:rsid w:val="002609DE"/>
    <w:rsid w:val="00260A36"/>
    <w:rsid w:val="00261491"/>
    <w:rsid w:val="002640D1"/>
    <w:rsid w:val="00264C46"/>
    <w:rsid w:val="00264F22"/>
    <w:rsid w:val="002655AE"/>
    <w:rsid w:val="002655CA"/>
    <w:rsid w:val="00265600"/>
    <w:rsid w:val="00267634"/>
    <w:rsid w:val="002738E1"/>
    <w:rsid w:val="00277F36"/>
    <w:rsid w:val="0028014F"/>
    <w:rsid w:val="00280B04"/>
    <w:rsid w:val="002816D0"/>
    <w:rsid w:val="00282739"/>
    <w:rsid w:val="0028407D"/>
    <w:rsid w:val="00284B9A"/>
    <w:rsid w:val="002900B5"/>
    <w:rsid w:val="00292A3D"/>
    <w:rsid w:val="002936AB"/>
    <w:rsid w:val="0029488C"/>
    <w:rsid w:val="00294ADB"/>
    <w:rsid w:val="00297120"/>
    <w:rsid w:val="002975C3"/>
    <w:rsid w:val="002977B7"/>
    <w:rsid w:val="002A149F"/>
    <w:rsid w:val="002A3D65"/>
    <w:rsid w:val="002A43C1"/>
    <w:rsid w:val="002A52EC"/>
    <w:rsid w:val="002A62BA"/>
    <w:rsid w:val="002B066E"/>
    <w:rsid w:val="002B4581"/>
    <w:rsid w:val="002B723E"/>
    <w:rsid w:val="002B72F5"/>
    <w:rsid w:val="002C0DE7"/>
    <w:rsid w:val="002C18F8"/>
    <w:rsid w:val="002C1A82"/>
    <w:rsid w:val="002C2FE1"/>
    <w:rsid w:val="002C3184"/>
    <w:rsid w:val="002C35D1"/>
    <w:rsid w:val="002C3CD1"/>
    <w:rsid w:val="002C40CC"/>
    <w:rsid w:val="002C4D93"/>
    <w:rsid w:val="002C6F78"/>
    <w:rsid w:val="002C7FD8"/>
    <w:rsid w:val="002D124A"/>
    <w:rsid w:val="002D1CBB"/>
    <w:rsid w:val="002D1FC7"/>
    <w:rsid w:val="002D2275"/>
    <w:rsid w:val="002D4AB7"/>
    <w:rsid w:val="002D5807"/>
    <w:rsid w:val="002D7F08"/>
    <w:rsid w:val="002E0A9E"/>
    <w:rsid w:val="002E2578"/>
    <w:rsid w:val="002E2D19"/>
    <w:rsid w:val="002E41FB"/>
    <w:rsid w:val="002E465D"/>
    <w:rsid w:val="002E474D"/>
    <w:rsid w:val="002F2CB5"/>
    <w:rsid w:val="002F3E3B"/>
    <w:rsid w:val="002F4872"/>
    <w:rsid w:val="002F49A8"/>
    <w:rsid w:val="002F5782"/>
    <w:rsid w:val="002F6249"/>
    <w:rsid w:val="002F719D"/>
    <w:rsid w:val="0030004A"/>
    <w:rsid w:val="00302AAC"/>
    <w:rsid w:val="003030EC"/>
    <w:rsid w:val="003033C3"/>
    <w:rsid w:val="00304214"/>
    <w:rsid w:val="00304D88"/>
    <w:rsid w:val="003051D3"/>
    <w:rsid w:val="00305E27"/>
    <w:rsid w:val="00306205"/>
    <w:rsid w:val="0030743D"/>
    <w:rsid w:val="00307512"/>
    <w:rsid w:val="00307DAB"/>
    <w:rsid w:val="0031131D"/>
    <w:rsid w:val="003116FC"/>
    <w:rsid w:val="00311B8B"/>
    <w:rsid w:val="003122B4"/>
    <w:rsid w:val="00313445"/>
    <w:rsid w:val="00314841"/>
    <w:rsid w:val="003176B2"/>
    <w:rsid w:val="003176BA"/>
    <w:rsid w:val="00320121"/>
    <w:rsid w:val="0032093D"/>
    <w:rsid w:val="00320DF6"/>
    <w:rsid w:val="00321454"/>
    <w:rsid w:val="0032176A"/>
    <w:rsid w:val="00322012"/>
    <w:rsid w:val="0032426D"/>
    <w:rsid w:val="00324C86"/>
    <w:rsid w:val="00325694"/>
    <w:rsid w:val="0032570B"/>
    <w:rsid w:val="00326ADC"/>
    <w:rsid w:val="003300BE"/>
    <w:rsid w:val="00330597"/>
    <w:rsid w:val="00334524"/>
    <w:rsid w:val="00335F9B"/>
    <w:rsid w:val="003371CB"/>
    <w:rsid w:val="003378E8"/>
    <w:rsid w:val="003415DA"/>
    <w:rsid w:val="0034168E"/>
    <w:rsid w:val="00342DAF"/>
    <w:rsid w:val="00343331"/>
    <w:rsid w:val="00343C05"/>
    <w:rsid w:val="00345E96"/>
    <w:rsid w:val="0034619F"/>
    <w:rsid w:val="00346252"/>
    <w:rsid w:val="00351A69"/>
    <w:rsid w:val="003522F1"/>
    <w:rsid w:val="00352676"/>
    <w:rsid w:val="003539A9"/>
    <w:rsid w:val="00353AED"/>
    <w:rsid w:val="00353C01"/>
    <w:rsid w:val="00356ABC"/>
    <w:rsid w:val="00356DC7"/>
    <w:rsid w:val="00357837"/>
    <w:rsid w:val="00357FE6"/>
    <w:rsid w:val="003600C6"/>
    <w:rsid w:val="00361BE7"/>
    <w:rsid w:val="00361DF9"/>
    <w:rsid w:val="00362182"/>
    <w:rsid w:val="00362E30"/>
    <w:rsid w:val="003634BA"/>
    <w:rsid w:val="00364002"/>
    <w:rsid w:val="003644F8"/>
    <w:rsid w:val="00365869"/>
    <w:rsid w:val="00367447"/>
    <w:rsid w:val="00367939"/>
    <w:rsid w:val="00370A4B"/>
    <w:rsid w:val="00370BC1"/>
    <w:rsid w:val="0037167A"/>
    <w:rsid w:val="0037196C"/>
    <w:rsid w:val="003725D8"/>
    <w:rsid w:val="00372DA8"/>
    <w:rsid w:val="003740D6"/>
    <w:rsid w:val="00374826"/>
    <w:rsid w:val="003748C3"/>
    <w:rsid w:val="00374DF6"/>
    <w:rsid w:val="00375274"/>
    <w:rsid w:val="00375B21"/>
    <w:rsid w:val="00376556"/>
    <w:rsid w:val="00376C90"/>
    <w:rsid w:val="00380FE6"/>
    <w:rsid w:val="00381D67"/>
    <w:rsid w:val="00382164"/>
    <w:rsid w:val="003866A8"/>
    <w:rsid w:val="00387D6B"/>
    <w:rsid w:val="00387F7F"/>
    <w:rsid w:val="003900CC"/>
    <w:rsid w:val="00390E4E"/>
    <w:rsid w:val="00394570"/>
    <w:rsid w:val="003948AA"/>
    <w:rsid w:val="00396C0D"/>
    <w:rsid w:val="00396E34"/>
    <w:rsid w:val="003974F9"/>
    <w:rsid w:val="00397781"/>
    <w:rsid w:val="003A12AA"/>
    <w:rsid w:val="003A180E"/>
    <w:rsid w:val="003A202C"/>
    <w:rsid w:val="003A2F85"/>
    <w:rsid w:val="003A31DC"/>
    <w:rsid w:val="003A33F4"/>
    <w:rsid w:val="003A4967"/>
    <w:rsid w:val="003A5668"/>
    <w:rsid w:val="003A5BFA"/>
    <w:rsid w:val="003B08FF"/>
    <w:rsid w:val="003B0B31"/>
    <w:rsid w:val="003B2AE3"/>
    <w:rsid w:val="003B3777"/>
    <w:rsid w:val="003B40AC"/>
    <w:rsid w:val="003B4228"/>
    <w:rsid w:val="003B553C"/>
    <w:rsid w:val="003B6208"/>
    <w:rsid w:val="003B65B0"/>
    <w:rsid w:val="003C00AE"/>
    <w:rsid w:val="003C1873"/>
    <w:rsid w:val="003C2932"/>
    <w:rsid w:val="003C6C71"/>
    <w:rsid w:val="003C763E"/>
    <w:rsid w:val="003D0956"/>
    <w:rsid w:val="003D13E9"/>
    <w:rsid w:val="003D14D9"/>
    <w:rsid w:val="003D27A8"/>
    <w:rsid w:val="003D4441"/>
    <w:rsid w:val="003D44E1"/>
    <w:rsid w:val="003D5748"/>
    <w:rsid w:val="003D5A3F"/>
    <w:rsid w:val="003D77E7"/>
    <w:rsid w:val="003E067C"/>
    <w:rsid w:val="003E0B85"/>
    <w:rsid w:val="003E1563"/>
    <w:rsid w:val="003E1FE1"/>
    <w:rsid w:val="003E3F5F"/>
    <w:rsid w:val="003E3FE3"/>
    <w:rsid w:val="003E4D41"/>
    <w:rsid w:val="003E51E8"/>
    <w:rsid w:val="003E6688"/>
    <w:rsid w:val="003E7263"/>
    <w:rsid w:val="003E7986"/>
    <w:rsid w:val="003E7A24"/>
    <w:rsid w:val="003F158A"/>
    <w:rsid w:val="003F23BF"/>
    <w:rsid w:val="003F2C0D"/>
    <w:rsid w:val="003F4836"/>
    <w:rsid w:val="003F5F65"/>
    <w:rsid w:val="003F68E6"/>
    <w:rsid w:val="003F74C0"/>
    <w:rsid w:val="00400B64"/>
    <w:rsid w:val="00400DA3"/>
    <w:rsid w:val="0040262A"/>
    <w:rsid w:val="00403061"/>
    <w:rsid w:val="00403AEA"/>
    <w:rsid w:val="00403F87"/>
    <w:rsid w:val="0040529F"/>
    <w:rsid w:val="0040622F"/>
    <w:rsid w:val="00406A15"/>
    <w:rsid w:val="0041012B"/>
    <w:rsid w:val="0041186F"/>
    <w:rsid w:val="004120B0"/>
    <w:rsid w:val="004122D2"/>
    <w:rsid w:val="00412576"/>
    <w:rsid w:val="00412BDB"/>
    <w:rsid w:val="00413868"/>
    <w:rsid w:val="00413AA9"/>
    <w:rsid w:val="00413E31"/>
    <w:rsid w:val="00414BBA"/>
    <w:rsid w:val="00414CD0"/>
    <w:rsid w:val="004169D5"/>
    <w:rsid w:val="00416B5B"/>
    <w:rsid w:val="004174D9"/>
    <w:rsid w:val="00420669"/>
    <w:rsid w:val="0042089C"/>
    <w:rsid w:val="004223B4"/>
    <w:rsid w:val="00422D48"/>
    <w:rsid w:val="0042323B"/>
    <w:rsid w:val="004239A6"/>
    <w:rsid w:val="004251E0"/>
    <w:rsid w:val="004270EB"/>
    <w:rsid w:val="004272EB"/>
    <w:rsid w:val="00432DAE"/>
    <w:rsid w:val="0043440A"/>
    <w:rsid w:val="00435686"/>
    <w:rsid w:val="00436D5B"/>
    <w:rsid w:val="00442850"/>
    <w:rsid w:val="00442E59"/>
    <w:rsid w:val="00442F55"/>
    <w:rsid w:val="00443CC6"/>
    <w:rsid w:val="004440C0"/>
    <w:rsid w:val="00446D41"/>
    <w:rsid w:val="00446D70"/>
    <w:rsid w:val="00451EB5"/>
    <w:rsid w:val="004520CE"/>
    <w:rsid w:val="0045240C"/>
    <w:rsid w:val="00452D4B"/>
    <w:rsid w:val="0045469D"/>
    <w:rsid w:val="0045668E"/>
    <w:rsid w:val="004568B1"/>
    <w:rsid w:val="00456A20"/>
    <w:rsid w:val="0046005F"/>
    <w:rsid w:val="00463D51"/>
    <w:rsid w:val="0046547A"/>
    <w:rsid w:val="004654D3"/>
    <w:rsid w:val="00465868"/>
    <w:rsid w:val="00465CD2"/>
    <w:rsid w:val="00466FB3"/>
    <w:rsid w:val="0046737A"/>
    <w:rsid w:val="00467B0D"/>
    <w:rsid w:val="00467BB2"/>
    <w:rsid w:val="00467D3C"/>
    <w:rsid w:val="0047086E"/>
    <w:rsid w:val="00472172"/>
    <w:rsid w:val="00472927"/>
    <w:rsid w:val="00472C3F"/>
    <w:rsid w:val="004744AE"/>
    <w:rsid w:val="00476609"/>
    <w:rsid w:val="00477B22"/>
    <w:rsid w:val="00481110"/>
    <w:rsid w:val="00481231"/>
    <w:rsid w:val="00483557"/>
    <w:rsid w:val="0048397A"/>
    <w:rsid w:val="00483E8D"/>
    <w:rsid w:val="0048484E"/>
    <w:rsid w:val="004850A6"/>
    <w:rsid w:val="00485944"/>
    <w:rsid w:val="00485FD9"/>
    <w:rsid w:val="00486A4D"/>
    <w:rsid w:val="00487769"/>
    <w:rsid w:val="00490AC7"/>
    <w:rsid w:val="00491DF2"/>
    <w:rsid w:val="00492109"/>
    <w:rsid w:val="00493D77"/>
    <w:rsid w:val="00494390"/>
    <w:rsid w:val="00495663"/>
    <w:rsid w:val="00495C03"/>
    <w:rsid w:val="00495DDE"/>
    <w:rsid w:val="004A104B"/>
    <w:rsid w:val="004A12F8"/>
    <w:rsid w:val="004A1391"/>
    <w:rsid w:val="004A2438"/>
    <w:rsid w:val="004A4331"/>
    <w:rsid w:val="004A51AD"/>
    <w:rsid w:val="004B07E9"/>
    <w:rsid w:val="004B1500"/>
    <w:rsid w:val="004B2BA4"/>
    <w:rsid w:val="004B45D9"/>
    <w:rsid w:val="004B462B"/>
    <w:rsid w:val="004B567B"/>
    <w:rsid w:val="004B7237"/>
    <w:rsid w:val="004B7BC6"/>
    <w:rsid w:val="004C1378"/>
    <w:rsid w:val="004C1FBE"/>
    <w:rsid w:val="004C2579"/>
    <w:rsid w:val="004C3226"/>
    <w:rsid w:val="004C513E"/>
    <w:rsid w:val="004C553C"/>
    <w:rsid w:val="004C5F9B"/>
    <w:rsid w:val="004D3D54"/>
    <w:rsid w:val="004D4804"/>
    <w:rsid w:val="004D4BFA"/>
    <w:rsid w:val="004D571D"/>
    <w:rsid w:val="004D62C0"/>
    <w:rsid w:val="004E0CC4"/>
    <w:rsid w:val="004E0D1A"/>
    <w:rsid w:val="004E1740"/>
    <w:rsid w:val="004E29CC"/>
    <w:rsid w:val="004E2D65"/>
    <w:rsid w:val="004E35BA"/>
    <w:rsid w:val="004E5A9B"/>
    <w:rsid w:val="004E7C4E"/>
    <w:rsid w:val="004F0CEB"/>
    <w:rsid w:val="004F0F76"/>
    <w:rsid w:val="004F10F2"/>
    <w:rsid w:val="004F2108"/>
    <w:rsid w:val="004F441C"/>
    <w:rsid w:val="004F59CE"/>
    <w:rsid w:val="004F66D3"/>
    <w:rsid w:val="004F75ED"/>
    <w:rsid w:val="004F7B00"/>
    <w:rsid w:val="00500961"/>
    <w:rsid w:val="005010BF"/>
    <w:rsid w:val="00501C8D"/>
    <w:rsid w:val="005022C1"/>
    <w:rsid w:val="00502F50"/>
    <w:rsid w:val="00504142"/>
    <w:rsid w:val="00506E48"/>
    <w:rsid w:val="005100CF"/>
    <w:rsid w:val="00510D46"/>
    <w:rsid w:val="00511F38"/>
    <w:rsid w:val="005121F5"/>
    <w:rsid w:val="0051380F"/>
    <w:rsid w:val="00515DA2"/>
    <w:rsid w:val="005202B9"/>
    <w:rsid w:val="00523BB5"/>
    <w:rsid w:val="00527362"/>
    <w:rsid w:val="005273AB"/>
    <w:rsid w:val="00530103"/>
    <w:rsid w:val="0053160F"/>
    <w:rsid w:val="00532F43"/>
    <w:rsid w:val="00534860"/>
    <w:rsid w:val="00535FDA"/>
    <w:rsid w:val="0053657D"/>
    <w:rsid w:val="00540F95"/>
    <w:rsid w:val="00542204"/>
    <w:rsid w:val="00543795"/>
    <w:rsid w:val="00543D71"/>
    <w:rsid w:val="00547E17"/>
    <w:rsid w:val="00550BFD"/>
    <w:rsid w:val="00550CCD"/>
    <w:rsid w:val="005513C6"/>
    <w:rsid w:val="0055203B"/>
    <w:rsid w:val="0055455E"/>
    <w:rsid w:val="00555805"/>
    <w:rsid w:val="00555CD3"/>
    <w:rsid w:val="0055603C"/>
    <w:rsid w:val="00556DC6"/>
    <w:rsid w:val="005605B7"/>
    <w:rsid w:val="0056139B"/>
    <w:rsid w:val="00562C8E"/>
    <w:rsid w:val="00563111"/>
    <w:rsid w:val="00564572"/>
    <w:rsid w:val="005657C8"/>
    <w:rsid w:val="00566232"/>
    <w:rsid w:val="00567E37"/>
    <w:rsid w:val="00570AD8"/>
    <w:rsid w:val="0057107F"/>
    <w:rsid w:val="00571FAC"/>
    <w:rsid w:val="0057345D"/>
    <w:rsid w:val="005739EB"/>
    <w:rsid w:val="00573BEF"/>
    <w:rsid w:val="00573D96"/>
    <w:rsid w:val="00574DE8"/>
    <w:rsid w:val="00574F7E"/>
    <w:rsid w:val="0057571A"/>
    <w:rsid w:val="00575EB1"/>
    <w:rsid w:val="00576023"/>
    <w:rsid w:val="005777E4"/>
    <w:rsid w:val="00581C2B"/>
    <w:rsid w:val="00582BCD"/>
    <w:rsid w:val="00583E8F"/>
    <w:rsid w:val="00584199"/>
    <w:rsid w:val="00590554"/>
    <w:rsid w:val="0059261C"/>
    <w:rsid w:val="00592868"/>
    <w:rsid w:val="0059289E"/>
    <w:rsid w:val="00593AE8"/>
    <w:rsid w:val="00594593"/>
    <w:rsid w:val="005952F1"/>
    <w:rsid w:val="005958B3"/>
    <w:rsid w:val="005959C0"/>
    <w:rsid w:val="00597EC8"/>
    <w:rsid w:val="005A0A4E"/>
    <w:rsid w:val="005A1931"/>
    <w:rsid w:val="005A2A91"/>
    <w:rsid w:val="005A2D6A"/>
    <w:rsid w:val="005A34A8"/>
    <w:rsid w:val="005A4250"/>
    <w:rsid w:val="005A47F9"/>
    <w:rsid w:val="005A59C2"/>
    <w:rsid w:val="005A62E1"/>
    <w:rsid w:val="005A62EB"/>
    <w:rsid w:val="005A6D35"/>
    <w:rsid w:val="005B0058"/>
    <w:rsid w:val="005B076F"/>
    <w:rsid w:val="005B1732"/>
    <w:rsid w:val="005B634F"/>
    <w:rsid w:val="005B6912"/>
    <w:rsid w:val="005B7087"/>
    <w:rsid w:val="005C0391"/>
    <w:rsid w:val="005C0756"/>
    <w:rsid w:val="005C07AE"/>
    <w:rsid w:val="005C1646"/>
    <w:rsid w:val="005C34AF"/>
    <w:rsid w:val="005C3568"/>
    <w:rsid w:val="005C67E3"/>
    <w:rsid w:val="005C6D67"/>
    <w:rsid w:val="005D0456"/>
    <w:rsid w:val="005D05BB"/>
    <w:rsid w:val="005D09BD"/>
    <w:rsid w:val="005D41F5"/>
    <w:rsid w:val="005D44FA"/>
    <w:rsid w:val="005D5889"/>
    <w:rsid w:val="005D72F1"/>
    <w:rsid w:val="005E0771"/>
    <w:rsid w:val="005E135B"/>
    <w:rsid w:val="005E2557"/>
    <w:rsid w:val="005E2CE0"/>
    <w:rsid w:val="005E50E2"/>
    <w:rsid w:val="005E5877"/>
    <w:rsid w:val="005E794F"/>
    <w:rsid w:val="005F0773"/>
    <w:rsid w:val="005F5BD0"/>
    <w:rsid w:val="005F6970"/>
    <w:rsid w:val="005F6E52"/>
    <w:rsid w:val="005F7A09"/>
    <w:rsid w:val="005F7E8C"/>
    <w:rsid w:val="0060006F"/>
    <w:rsid w:val="00600A89"/>
    <w:rsid w:val="0060151F"/>
    <w:rsid w:val="00601582"/>
    <w:rsid w:val="006015BC"/>
    <w:rsid w:val="0060240D"/>
    <w:rsid w:val="00604567"/>
    <w:rsid w:val="006048D8"/>
    <w:rsid w:val="0060659C"/>
    <w:rsid w:val="006067CF"/>
    <w:rsid w:val="00606C4F"/>
    <w:rsid w:val="006102EF"/>
    <w:rsid w:val="006110AA"/>
    <w:rsid w:val="0061121D"/>
    <w:rsid w:val="00613A62"/>
    <w:rsid w:val="00613AD6"/>
    <w:rsid w:val="0061410F"/>
    <w:rsid w:val="006167D6"/>
    <w:rsid w:val="006172CF"/>
    <w:rsid w:val="00620F51"/>
    <w:rsid w:val="0062231C"/>
    <w:rsid w:val="00623859"/>
    <w:rsid w:val="00623C55"/>
    <w:rsid w:val="006268E8"/>
    <w:rsid w:val="00631045"/>
    <w:rsid w:val="006336C6"/>
    <w:rsid w:val="00633A5A"/>
    <w:rsid w:val="0063465F"/>
    <w:rsid w:val="0063542E"/>
    <w:rsid w:val="00635C4B"/>
    <w:rsid w:val="006366E5"/>
    <w:rsid w:val="00640D25"/>
    <w:rsid w:val="00640DE6"/>
    <w:rsid w:val="00642FAD"/>
    <w:rsid w:val="006446F9"/>
    <w:rsid w:val="00645E92"/>
    <w:rsid w:val="00645EB5"/>
    <w:rsid w:val="006461DF"/>
    <w:rsid w:val="00652DED"/>
    <w:rsid w:val="00654E31"/>
    <w:rsid w:val="00657156"/>
    <w:rsid w:val="00660A34"/>
    <w:rsid w:val="006613DB"/>
    <w:rsid w:val="00664B54"/>
    <w:rsid w:val="00665B40"/>
    <w:rsid w:val="00666C56"/>
    <w:rsid w:val="006673D0"/>
    <w:rsid w:val="00667542"/>
    <w:rsid w:val="0067047E"/>
    <w:rsid w:val="00670A7E"/>
    <w:rsid w:val="006713C2"/>
    <w:rsid w:val="00671A82"/>
    <w:rsid w:val="00671DDD"/>
    <w:rsid w:val="00671E8C"/>
    <w:rsid w:val="00672A92"/>
    <w:rsid w:val="00673E79"/>
    <w:rsid w:val="006748B5"/>
    <w:rsid w:val="00675B6B"/>
    <w:rsid w:val="006763E3"/>
    <w:rsid w:val="006768CC"/>
    <w:rsid w:val="00681BB8"/>
    <w:rsid w:val="006823EE"/>
    <w:rsid w:val="0068329D"/>
    <w:rsid w:val="00684C74"/>
    <w:rsid w:val="0068587E"/>
    <w:rsid w:val="0068663E"/>
    <w:rsid w:val="00691093"/>
    <w:rsid w:val="0069190D"/>
    <w:rsid w:val="0069228B"/>
    <w:rsid w:val="00692983"/>
    <w:rsid w:val="00692992"/>
    <w:rsid w:val="00692A99"/>
    <w:rsid w:val="006943E0"/>
    <w:rsid w:val="006962E2"/>
    <w:rsid w:val="0069772B"/>
    <w:rsid w:val="006A0097"/>
    <w:rsid w:val="006A0490"/>
    <w:rsid w:val="006A1F3A"/>
    <w:rsid w:val="006A245F"/>
    <w:rsid w:val="006A35F5"/>
    <w:rsid w:val="006A3998"/>
    <w:rsid w:val="006A3C84"/>
    <w:rsid w:val="006A4891"/>
    <w:rsid w:val="006A4D75"/>
    <w:rsid w:val="006A6CA5"/>
    <w:rsid w:val="006B005D"/>
    <w:rsid w:val="006B1AAF"/>
    <w:rsid w:val="006B2A60"/>
    <w:rsid w:val="006B2E50"/>
    <w:rsid w:val="006B2EFE"/>
    <w:rsid w:val="006B45B8"/>
    <w:rsid w:val="006B50D0"/>
    <w:rsid w:val="006B56A5"/>
    <w:rsid w:val="006B69DB"/>
    <w:rsid w:val="006C2DC4"/>
    <w:rsid w:val="006C4451"/>
    <w:rsid w:val="006C5F9C"/>
    <w:rsid w:val="006C6599"/>
    <w:rsid w:val="006C66DA"/>
    <w:rsid w:val="006C7A60"/>
    <w:rsid w:val="006C7AF4"/>
    <w:rsid w:val="006D062C"/>
    <w:rsid w:val="006D13C7"/>
    <w:rsid w:val="006D2201"/>
    <w:rsid w:val="006D2955"/>
    <w:rsid w:val="006D2EDB"/>
    <w:rsid w:val="006D33DE"/>
    <w:rsid w:val="006D3B34"/>
    <w:rsid w:val="006D4023"/>
    <w:rsid w:val="006D4B52"/>
    <w:rsid w:val="006D4F5C"/>
    <w:rsid w:val="006E0B7C"/>
    <w:rsid w:val="006E145E"/>
    <w:rsid w:val="006E1DAB"/>
    <w:rsid w:val="006E282F"/>
    <w:rsid w:val="006E29CC"/>
    <w:rsid w:val="006E2C42"/>
    <w:rsid w:val="006E2FB8"/>
    <w:rsid w:val="006E3274"/>
    <w:rsid w:val="006E3921"/>
    <w:rsid w:val="006E407E"/>
    <w:rsid w:val="006E4CA9"/>
    <w:rsid w:val="006E588E"/>
    <w:rsid w:val="006E6172"/>
    <w:rsid w:val="006F0237"/>
    <w:rsid w:val="006F2632"/>
    <w:rsid w:val="006F28F3"/>
    <w:rsid w:val="006F35EB"/>
    <w:rsid w:val="006F5729"/>
    <w:rsid w:val="006F73CD"/>
    <w:rsid w:val="006F7465"/>
    <w:rsid w:val="00701491"/>
    <w:rsid w:val="00703A8C"/>
    <w:rsid w:val="00705CCD"/>
    <w:rsid w:val="007073B9"/>
    <w:rsid w:val="00707675"/>
    <w:rsid w:val="00707F88"/>
    <w:rsid w:val="00710905"/>
    <w:rsid w:val="00711633"/>
    <w:rsid w:val="00713ECD"/>
    <w:rsid w:val="00713F4A"/>
    <w:rsid w:val="00714FC4"/>
    <w:rsid w:val="00716D4A"/>
    <w:rsid w:val="00717361"/>
    <w:rsid w:val="00717757"/>
    <w:rsid w:val="00720335"/>
    <w:rsid w:val="00721E80"/>
    <w:rsid w:val="00722649"/>
    <w:rsid w:val="00723F29"/>
    <w:rsid w:val="00724361"/>
    <w:rsid w:val="00724529"/>
    <w:rsid w:val="0073468A"/>
    <w:rsid w:val="007347FB"/>
    <w:rsid w:val="00736DD6"/>
    <w:rsid w:val="00737E17"/>
    <w:rsid w:val="00741346"/>
    <w:rsid w:val="00742199"/>
    <w:rsid w:val="007458E2"/>
    <w:rsid w:val="0075043C"/>
    <w:rsid w:val="00750EE9"/>
    <w:rsid w:val="00752060"/>
    <w:rsid w:val="00753ADA"/>
    <w:rsid w:val="00754DAA"/>
    <w:rsid w:val="007552A2"/>
    <w:rsid w:val="0075705B"/>
    <w:rsid w:val="00757E43"/>
    <w:rsid w:val="007612BD"/>
    <w:rsid w:val="00762127"/>
    <w:rsid w:val="007627E9"/>
    <w:rsid w:val="0076281C"/>
    <w:rsid w:val="00762AAF"/>
    <w:rsid w:val="0076365C"/>
    <w:rsid w:val="00763851"/>
    <w:rsid w:val="00765949"/>
    <w:rsid w:val="00767547"/>
    <w:rsid w:val="00770681"/>
    <w:rsid w:val="00770B60"/>
    <w:rsid w:val="0077134A"/>
    <w:rsid w:val="007715E5"/>
    <w:rsid w:val="00771C03"/>
    <w:rsid w:val="00774120"/>
    <w:rsid w:val="007766D5"/>
    <w:rsid w:val="00777458"/>
    <w:rsid w:val="00780B15"/>
    <w:rsid w:val="0078130B"/>
    <w:rsid w:val="00782670"/>
    <w:rsid w:val="00782754"/>
    <w:rsid w:val="00782B1B"/>
    <w:rsid w:val="0078495F"/>
    <w:rsid w:val="00785ED6"/>
    <w:rsid w:val="00786632"/>
    <w:rsid w:val="00787FC3"/>
    <w:rsid w:val="00787FE9"/>
    <w:rsid w:val="00790E16"/>
    <w:rsid w:val="00791B09"/>
    <w:rsid w:val="00795D7E"/>
    <w:rsid w:val="00796584"/>
    <w:rsid w:val="007967E7"/>
    <w:rsid w:val="00796BF2"/>
    <w:rsid w:val="007A03E1"/>
    <w:rsid w:val="007A0D2B"/>
    <w:rsid w:val="007A1674"/>
    <w:rsid w:val="007A18B0"/>
    <w:rsid w:val="007A20C0"/>
    <w:rsid w:val="007A3C12"/>
    <w:rsid w:val="007A3E93"/>
    <w:rsid w:val="007A45C8"/>
    <w:rsid w:val="007A5FD4"/>
    <w:rsid w:val="007A726B"/>
    <w:rsid w:val="007A75AB"/>
    <w:rsid w:val="007A75B2"/>
    <w:rsid w:val="007A7C61"/>
    <w:rsid w:val="007B0782"/>
    <w:rsid w:val="007B0F62"/>
    <w:rsid w:val="007B1E17"/>
    <w:rsid w:val="007B2C72"/>
    <w:rsid w:val="007B3587"/>
    <w:rsid w:val="007B3EDE"/>
    <w:rsid w:val="007B4348"/>
    <w:rsid w:val="007B57EC"/>
    <w:rsid w:val="007B6517"/>
    <w:rsid w:val="007B6527"/>
    <w:rsid w:val="007B6B43"/>
    <w:rsid w:val="007C0C43"/>
    <w:rsid w:val="007C1FA5"/>
    <w:rsid w:val="007C3BD6"/>
    <w:rsid w:val="007C4A40"/>
    <w:rsid w:val="007C687D"/>
    <w:rsid w:val="007C79C9"/>
    <w:rsid w:val="007D16CD"/>
    <w:rsid w:val="007D2010"/>
    <w:rsid w:val="007D2893"/>
    <w:rsid w:val="007D4114"/>
    <w:rsid w:val="007D5A82"/>
    <w:rsid w:val="007D5CF9"/>
    <w:rsid w:val="007E0A00"/>
    <w:rsid w:val="007E0A9A"/>
    <w:rsid w:val="007E1A0E"/>
    <w:rsid w:val="007E50E0"/>
    <w:rsid w:val="007E6C6D"/>
    <w:rsid w:val="007E7640"/>
    <w:rsid w:val="007F092A"/>
    <w:rsid w:val="007F0D5F"/>
    <w:rsid w:val="007F1773"/>
    <w:rsid w:val="007F2698"/>
    <w:rsid w:val="007F359A"/>
    <w:rsid w:val="007F3F2A"/>
    <w:rsid w:val="007F485B"/>
    <w:rsid w:val="007F6BE4"/>
    <w:rsid w:val="00800D62"/>
    <w:rsid w:val="00800E0E"/>
    <w:rsid w:val="00802652"/>
    <w:rsid w:val="00802D34"/>
    <w:rsid w:val="00803C8B"/>
    <w:rsid w:val="00803E30"/>
    <w:rsid w:val="008048B9"/>
    <w:rsid w:val="00805576"/>
    <w:rsid w:val="00805A0F"/>
    <w:rsid w:val="00806CF3"/>
    <w:rsid w:val="00806F7C"/>
    <w:rsid w:val="00807D69"/>
    <w:rsid w:val="0081009C"/>
    <w:rsid w:val="008105FF"/>
    <w:rsid w:val="008108EB"/>
    <w:rsid w:val="008133DE"/>
    <w:rsid w:val="00813449"/>
    <w:rsid w:val="0081347E"/>
    <w:rsid w:val="00813629"/>
    <w:rsid w:val="0081386F"/>
    <w:rsid w:val="00813C78"/>
    <w:rsid w:val="0081450D"/>
    <w:rsid w:val="00816153"/>
    <w:rsid w:val="00816D7F"/>
    <w:rsid w:val="00817210"/>
    <w:rsid w:val="00820369"/>
    <w:rsid w:val="008209AA"/>
    <w:rsid w:val="00821906"/>
    <w:rsid w:val="00821953"/>
    <w:rsid w:val="008227C4"/>
    <w:rsid w:val="00822C6A"/>
    <w:rsid w:val="00823139"/>
    <w:rsid w:val="00824ADD"/>
    <w:rsid w:val="00824F7A"/>
    <w:rsid w:val="00825167"/>
    <w:rsid w:val="00825946"/>
    <w:rsid w:val="00825E1D"/>
    <w:rsid w:val="008260C4"/>
    <w:rsid w:val="00826BE5"/>
    <w:rsid w:val="0082736A"/>
    <w:rsid w:val="00827BD8"/>
    <w:rsid w:val="00827C0E"/>
    <w:rsid w:val="00827D12"/>
    <w:rsid w:val="00831396"/>
    <w:rsid w:val="008341AD"/>
    <w:rsid w:val="0083529E"/>
    <w:rsid w:val="008354A4"/>
    <w:rsid w:val="00837849"/>
    <w:rsid w:val="00837F6D"/>
    <w:rsid w:val="008410E5"/>
    <w:rsid w:val="008430DF"/>
    <w:rsid w:val="008464CA"/>
    <w:rsid w:val="00847216"/>
    <w:rsid w:val="0084726B"/>
    <w:rsid w:val="00850703"/>
    <w:rsid w:val="00851938"/>
    <w:rsid w:val="00852240"/>
    <w:rsid w:val="00852A33"/>
    <w:rsid w:val="00852C6A"/>
    <w:rsid w:val="008532CE"/>
    <w:rsid w:val="0085354C"/>
    <w:rsid w:val="008629A3"/>
    <w:rsid w:val="0086349E"/>
    <w:rsid w:val="00863A71"/>
    <w:rsid w:val="00864187"/>
    <w:rsid w:val="0086475C"/>
    <w:rsid w:val="0086502C"/>
    <w:rsid w:val="00865109"/>
    <w:rsid w:val="0086618C"/>
    <w:rsid w:val="00870248"/>
    <w:rsid w:val="008703F8"/>
    <w:rsid w:val="0087158E"/>
    <w:rsid w:val="00872C1E"/>
    <w:rsid w:val="00873775"/>
    <w:rsid w:val="00876E77"/>
    <w:rsid w:val="008772CF"/>
    <w:rsid w:val="008813E4"/>
    <w:rsid w:val="00881805"/>
    <w:rsid w:val="00881F64"/>
    <w:rsid w:val="008859A2"/>
    <w:rsid w:val="00885AA9"/>
    <w:rsid w:val="00886C8F"/>
    <w:rsid w:val="00890098"/>
    <w:rsid w:val="008901BF"/>
    <w:rsid w:val="0089066A"/>
    <w:rsid w:val="00890EDB"/>
    <w:rsid w:val="00890F0D"/>
    <w:rsid w:val="00891513"/>
    <w:rsid w:val="00891B5A"/>
    <w:rsid w:val="00896A7E"/>
    <w:rsid w:val="008970F8"/>
    <w:rsid w:val="008A0782"/>
    <w:rsid w:val="008A086B"/>
    <w:rsid w:val="008A0941"/>
    <w:rsid w:val="008A1EC1"/>
    <w:rsid w:val="008A1F92"/>
    <w:rsid w:val="008A2006"/>
    <w:rsid w:val="008A2722"/>
    <w:rsid w:val="008A308C"/>
    <w:rsid w:val="008A369C"/>
    <w:rsid w:val="008A3719"/>
    <w:rsid w:val="008A410D"/>
    <w:rsid w:val="008A454D"/>
    <w:rsid w:val="008A4D0A"/>
    <w:rsid w:val="008A555E"/>
    <w:rsid w:val="008A5656"/>
    <w:rsid w:val="008A5971"/>
    <w:rsid w:val="008A65A7"/>
    <w:rsid w:val="008A781B"/>
    <w:rsid w:val="008B00A7"/>
    <w:rsid w:val="008B12B3"/>
    <w:rsid w:val="008B13AC"/>
    <w:rsid w:val="008B196B"/>
    <w:rsid w:val="008B3332"/>
    <w:rsid w:val="008B3B39"/>
    <w:rsid w:val="008B3EC4"/>
    <w:rsid w:val="008B4BEB"/>
    <w:rsid w:val="008B6582"/>
    <w:rsid w:val="008B7FAC"/>
    <w:rsid w:val="008C1926"/>
    <w:rsid w:val="008C20F7"/>
    <w:rsid w:val="008C60E1"/>
    <w:rsid w:val="008C6E47"/>
    <w:rsid w:val="008C7764"/>
    <w:rsid w:val="008C7D0C"/>
    <w:rsid w:val="008D1287"/>
    <w:rsid w:val="008D12F1"/>
    <w:rsid w:val="008D142F"/>
    <w:rsid w:val="008D3639"/>
    <w:rsid w:val="008D374A"/>
    <w:rsid w:val="008D4BDB"/>
    <w:rsid w:val="008D4E8E"/>
    <w:rsid w:val="008D5E0D"/>
    <w:rsid w:val="008E106A"/>
    <w:rsid w:val="008E16E3"/>
    <w:rsid w:val="008E271A"/>
    <w:rsid w:val="008E521A"/>
    <w:rsid w:val="008F03BD"/>
    <w:rsid w:val="008F15AA"/>
    <w:rsid w:val="008F275F"/>
    <w:rsid w:val="008F5072"/>
    <w:rsid w:val="008F55F7"/>
    <w:rsid w:val="008F594D"/>
    <w:rsid w:val="008F6038"/>
    <w:rsid w:val="008F6D89"/>
    <w:rsid w:val="008F7CC3"/>
    <w:rsid w:val="00900AAB"/>
    <w:rsid w:val="00900DB2"/>
    <w:rsid w:val="0090146A"/>
    <w:rsid w:val="009035CD"/>
    <w:rsid w:val="00903675"/>
    <w:rsid w:val="009039F3"/>
    <w:rsid w:val="0090517C"/>
    <w:rsid w:val="009052F7"/>
    <w:rsid w:val="00906332"/>
    <w:rsid w:val="0091101D"/>
    <w:rsid w:val="00911958"/>
    <w:rsid w:val="00912F62"/>
    <w:rsid w:val="00913822"/>
    <w:rsid w:val="00913F20"/>
    <w:rsid w:val="00914AD5"/>
    <w:rsid w:val="009153E1"/>
    <w:rsid w:val="00916475"/>
    <w:rsid w:val="0091700C"/>
    <w:rsid w:val="009205FD"/>
    <w:rsid w:val="0092190F"/>
    <w:rsid w:val="0092339D"/>
    <w:rsid w:val="00923695"/>
    <w:rsid w:val="00923FAB"/>
    <w:rsid w:val="009240D1"/>
    <w:rsid w:val="009241F4"/>
    <w:rsid w:val="009279D2"/>
    <w:rsid w:val="00927FB6"/>
    <w:rsid w:val="00930113"/>
    <w:rsid w:val="009301CE"/>
    <w:rsid w:val="00932258"/>
    <w:rsid w:val="00932CE7"/>
    <w:rsid w:val="009350AF"/>
    <w:rsid w:val="00935AF1"/>
    <w:rsid w:val="009367E3"/>
    <w:rsid w:val="00936B28"/>
    <w:rsid w:val="00940ACB"/>
    <w:rsid w:val="00942C9C"/>
    <w:rsid w:val="00944171"/>
    <w:rsid w:val="00944467"/>
    <w:rsid w:val="00944BC1"/>
    <w:rsid w:val="00945593"/>
    <w:rsid w:val="00946319"/>
    <w:rsid w:val="0094730D"/>
    <w:rsid w:val="00947501"/>
    <w:rsid w:val="00950865"/>
    <w:rsid w:val="00950F8B"/>
    <w:rsid w:val="0095150E"/>
    <w:rsid w:val="00951701"/>
    <w:rsid w:val="00951DCA"/>
    <w:rsid w:val="00951E36"/>
    <w:rsid w:val="00952C49"/>
    <w:rsid w:val="00953448"/>
    <w:rsid w:val="00954FB9"/>
    <w:rsid w:val="00955089"/>
    <w:rsid w:val="0095687F"/>
    <w:rsid w:val="00957230"/>
    <w:rsid w:val="00960F1B"/>
    <w:rsid w:val="00962087"/>
    <w:rsid w:val="0096330F"/>
    <w:rsid w:val="00964618"/>
    <w:rsid w:val="00967BEF"/>
    <w:rsid w:val="00971C0A"/>
    <w:rsid w:val="0097318F"/>
    <w:rsid w:val="00973193"/>
    <w:rsid w:val="00973C3A"/>
    <w:rsid w:val="00975BA0"/>
    <w:rsid w:val="009766E7"/>
    <w:rsid w:val="009774F1"/>
    <w:rsid w:val="009801A0"/>
    <w:rsid w:val="0098060B"/>
    <w:rsid w:val="00981BB8"/>
    <w:rsid w:val="00982735"/>
    <w:rsid w:val="00982CD8"/>
    <w:rsid w:val="00983371"/>
    <w:rsid w:val="009833DC"/>
    <w:rsid w:val="0098419C"/>
    <w:rsid w:val="00984407"/>
    <w:rsid w:val="009845F3"/>
    <w:rsid w:val="00985082"/>
    <w:rsid w:val="00986453"/>
    <w:rsid w:val="009865F1"/>
    <w:rsid w:val="0098798B"/>
    <w:rsid w:val="0099012F"/>
    <w:rsid w:val="0099031D"/>
    <w:rsid w:val="00990D57"/>
    <w:rsid w:val="00990F8F"/>
    <w:rsid w:val="00991448"/>
    <w:rsid w:val="00991EB4"/>
    <w:rsid w:val="00992CA6"/>
    <w:rsid w:val="0099343B"/>
    <w:rsid w:val="009936E6"/>
    <w:rsid w:val="00993954"/>
    <w:rsid w:val="00994746"/>
    <w:rsid w:val="00995421"/>
    <w:rsid w:val="009962D7"/>
    <w:rsid w:val="00996316"/>
    <w:rsid w:val="009A016A"/>
    <w:rsid w:val="009A268E"/>
    <w:rsid w:val="009A26C0"/>
    <w:rsid w:val="009A2BE2"/>
    <w:rsid w:val="009A2CB0"/>
    <w:rsid w:val="009A3679"/>
    <w:rsid w:val="009A3692"/>
    <w:rsid w:val="009A41D2"/>
    <w:rsid w:val="009A4371"/>
    <w:rsid w:val="009B0220"/>
    <w:rsid w:val="009B15B9"/>
    <w:rsid w:val="009B1A80"/>
    <w:rsid w:val="009B1BD2"/>
    <w:rsid w:val="009B2A05"/>
    <w:rsid w:val="009B371E"/>
    <w:rsid w:val="009B4141"/>
    <w:rsid w:val="009B53C8"/>
    <w:rsid w:val="009B6290"/>
    <w:rsid w:val="009B7899"/>
    <w:rsid w:val="009C1E30"/>
    <w:rsid w:val="009C2103"/>
    <w:rsid w:val="009C5138"/>
    <w:rsid w:val="009C554D"/>
    <w:rsid w:val="009C5617"/>
    <w:rsid w:val="009C72A0"/>
    <w:rsid w:val="009D02AE"/>
    <w:rsid w:val="009D1274"/>
    <w:rsid w:val="009D1A28"/>
    <w:rsid w:val="009D2F5D"/>
    <w:rsid w:val="009D4BD2"/>
    <w:rsid w:val="009D5053"/>
    <w:rsid w:val="009D63E9"/>
    <w:rsid w:val="009D7471"/>
    <w:rsid w:val="009E0738"/>
    <w:rsid w:val="009E0860"/>
    <w:rsid w:val="009E2103"/>
    <w:rsid w:val="009E2E51"/>
    <w:rsid w:val="009E397E"/>
    <w:rsid w:val="009E581E"/>
    <w:rsid w:val="009E6009"/>
    <w:rsid w:val="009E6CB7"/>
    <w:rsid w:val="009F092D"/>
    <w:rsid w:val="009F30B3"/>
    <w:rsid w:val="009F31B5"/>
    <w:rsid w:val="009F721C"/>
    <w:rsid w:val="00A01C79"/>
    <w:rsid w:val="00A01D73"/>
    <w:rsid w:val="00A029B7"/>
    <w:rsid w:val="00A038C0"/>
    <w:rsid w:val="00A048BF"/>
    <w:rsid w:val="00A04CD3"/>
    <w:rsid w:val="00A051C7"/>
    <w:rsid w:val="00A059C5"/>
    <w:rsid w:val="00A0610C"/>
    <w:rsid w:val="00A06DBA"/>
    <w:rsid w:val="00A074E4"/>
    <w:rsid w:val="00A108E7"/>
    <w:rsid w:val="00A1487C"/>
    <w:rsid w:val="00A15AD8"/>
    <w:rsid w:val="00A1736C"/>
    <w:rsid w:val="00A25B2C"/>
    <w:rsid w:val="00A26407"/>
    <w:rsid w:val="00A276AF"/>
    <w:rsid w:val="00A2789B"/>
    <w:rsid w:val="00A313DF"/>
    <w:rsid w:val="00A33564"/>
    <w:rsid w:val="00A33B32"/>
    <w:rsid w:val="00A3427E"/>
    <w:rsid w:val="00A34FD3"/>
    <w:rsid w:val="00A35DA0"/>
    <w:rsid w:val="00A41D53"/>
    <w:rsid w:val="00A420C2"/>
    <w:rsid w:val="00A44F40"/>
    <w:rsid w:val="00A459AD"/>
    <w:rsid w:val="00A45F55"/>
    <w:rsid w:val="00A476CB"/>
    <w:rsid w:val="00A4783F"/>
    <w:rsid w:val="00A5006D"/>
    <w:rsid w:val="00A512F1"/>
    <w:rsid w:val="00A51420"/>
    <w:rsid w:val="00A51D2C"/>
    <w:rsid w:val="00A52776"/>
    <w:rsid w:val="00A53379"/>
    <w:rsid w:val="00A549F1"/>
    <w:rsid w:val="00A600D5"/>
    <w:rsid w:val="00A6047A"/>
    <w:rsid w:val="00A610FD"/>
    <w:rsid w:val="00A65865"/>
    <w:rsid w:val="00A6761B"/>
    <w:rsid w:val="00A67825"/>
    <w:rsid w:val="00A67AFD"/>
    <w:rsid w:val="00A7097B"/>
    <w:rsid w:val="00A711A2"/>
    <w:rsid w:val="00A7181E"/>
    <w:rsid w:val="00A71C3B"/>
    <w:rsid w:val="00A7599D"/>
    <w:rsid w:val="00A8005C"/>
    <w:rsid w:val="00A81030"/>
    <w:rsid w:val="00A8168E"/>
    <w:rsid w:val="00A824F9"/>
    <w:rsid w:val="00A82737"/>
    <w:rsid w:val="00A83011"/>
    <w:rsid w:val="00A8344C"/>
    <w:rsid w:val="00A8586F"/>
    <w:rsid w:val="00A860D8"/>
    <w:rsid w:val="00A87207"/>
    <w:rsid w:val="00A9042E"/>
    <w:rsid w:val="00A90703"/>
    <w:rsid w:val="00A935F4"/>
    <w:rsid w:val="00A967A7"/>
    <w:rsid w:val="00AA1A72"/>
    <w:rsid w:val="00AA208B"/>
    <w:rsid w:val="00AA3159"/>
    <w:rsid w:val="00AA32C9"/>
    <w:rsid w:val="00AA3B1B"/>
    <w:rsid w:val="00AA49CE"/>
    <w:rsid w:val="00AB0F88"/>
    <w:rsid w:val="00AB1582"/>
    <w:rsid w:val="00AB1CB9"/>
    <w:rsid w:val="00AB24C0"/>
    <w:rsid w:val="00AB2B55"/>
    <w:rsid w:val="00AB30F6"/>
    <w:rsid w:val="00AB36B3"/>
    <w:rsid w:val="00AB41F1"/>
    <w:rsid w:val="00AB457A"/>
    <w:rsid w:val="00AB4AFC"/>
    <w:rsid w:val="00AB4FC3"/>
    <w:rsid w:val="00AB5308"/>
    <w:rsid w:val="00AB7424"/>
    <w:rsid w:val="00AB7737"/>
    <w:rsid w:val="00AB7CD4"/>
    <w:rsid w:val="00AC014E"/>
    <w:rsid w:val="00AC0245"/>
    <w:rsid w:val="00AC0DAB"/>
    <w:rsid w:val="00AC24A9"/>
    <w:rsid w:val="00AC29D7"/>
    <w:rsid w:val="00AC32C0"/>
    <w:rsid w:val="00AC3BA4"/>
    <w:rsid w:val="00AC4189"/>
    <w:rsid w:val="00AC5B4C"/>
    <w:rsid w:val="00AC6331"/>
    <w:rsid w:val="00AC7C98"/>
    <w:rsid w:val="00AD084F"/>
    <w:rsid w:val="00AD12E0"/>
    <w:rsid w:val="00AD1532"/>
    <w:rsid w:val="00AD17A3"/>
    <w:rsid w:val="00AD3D79"/>
    <w:rsid w:val="00AD4560"/>
    <w:rsid w:val="00AD5497"/>
    <w:rsid w:val="00AD69B9"/>
    <w:rsid w:val="00AD6B74"/>
    <w:rsid w:val="00AD6CAF"/>
    <w:rsid w:val="00AE1678"/>
    <w:rsid w:val="00AE17B4"/>
    <w:rsid w:val="00AE2336"/>
    <w:rsid w:val="00AE3559"/>
    <w:rsid w:val="00AE4F21"/>
    <w:rsid w:val="00AE5030"/>
    <w:rsid w:val="00AE5498"/>
    <w:rsid w:val="00AE5F61"/>
    <w:rsid w:val="00AE6194"/>
    <w:rsid w:val="00AE6483"/>
    <w:rsid w:val="00AE65A9"/>
    <w:rsid w:val="00AE69F9"/>
    <w:rsid w:val="00AE77DE"/>
    <w:rsid w:val="00AF0A76"/>
    <w:rsid w:val="00AF1BFF"/>
    <w:rsid w:val="00AF3713"/>
    <w:rsid w:val="00AF371F"/>
    <w:rsid w:val="00AF4727"/>
    <w:rsid w:val="00AF49D7"/>
    <w:rsid w:val="00AF7AE7"/>
    <w:rsid w:val="00B00A09"/>
    <w:rsid w:val="00B027BF"/>
    <w:rsid w:val="00B030C6"/>
    <w:rsid w:val="00B04EF0"/>
    <w:rsid w:val="00B05480"/>
    <w:rsid w:val="00B068E4"/>
    <w:rsid w:val="00B06959"/>
    <w:rsid w:val="00B06E3B"/>
    <w:rsid w:val="00B0778E"/>
    <w:rsid w:val="00B126BE"/>
    <w:rsid w:val="00B137B2"/>
    <w:rsid w:val="00B147A1"/>
    <w:rsid w:val="00B161B4"/>
    <w:rsid w:val="00B17B3A"/>
    <w:rsid w:val="00B201EA"/>
    <w:rsid w:val="00B21857"/>
    <w:rsid w:val="00B222D7"/>
    <w:rsid w:val="00B2323C"/>
    <w:rsid w:val="00B25B34"/>
    <w:rsid w:val="00B25C0B"/>
    <w:rsid w:val="00B26DE3"/>
    <w:rsid w:val="00B31003"/>
    <w:rsid w:val="00B3110A"/>
    <w:rsid w:val="00B31ED2"/>
    <w:rsid w:val="00B32423"/>
    <w:rsid w:val="00B32AC5"/>
    <w:rsid w:val="00B3366B"/>
    <w:rsid w:val="00B33695"/>
    <w:rsid w:val="00B35089"/>
    <w:rsid w:val="00B36022"/>
    <w:rsid w:val="00B4133E"/>
    <w:rsid w:val="00B413A1"/>
    <w:rsid w:val="00B44827"/>
    <w:rsid w:val="00B4675A"/>
    <w:rsid w:val="00B46A4C"/>
    <w:rsid w:val="00B47122"/>
    <w:rsid w:val="00B51A86"/>
    <w:rsid w:val="00B51FAD"/>
    <w:rsid w:val="00B5247D"/>
    <w:rsid w:val="00B52F30"/>
    <w:rsid w:val="00B542DD"/>
    <w:rsid w:val="00B54859"/>
    <w:rsid w:val="00B5513F"/>
    <w:rsid w:val="00B5642B"/>
    <w:rsid w:val="00B56C3C"/>
    <w:rsid w:val="00B57BDF"/>
    <w:rsid w:val="00B6002C"/>
    <w:rsid w:val="00B61634"/>
    <w:rsid w:val="00B61A5C"/>
    <w:rsid w:val="00B629AA"/>
    <w:rsid w:val="00B6355D"/>
    <w:rsid w:val="00B65423"/>
    <w:rsid w:val="00B65996"/>
    <w:rsid w:val="00B66790"/>
    <w:rsid w:val="00B66B05"/>
    <w:rsid w:val="00B6709D"/>
    <w:rsid w:val="00B72821"/>
    <w:rsid w:val="00B73211"/>
    <w:rsid w:val="00B74118"/>
    <w:rsid w:val="00B7476D"/>
    <w:rsid w:val="00B74BFD"/>
    <w:rsid w:val="00B77283"/>
    <w:rsid w:val="00B81251"/>
    <w:rsid w:val="00B81402"/>
    <w:rsid w:val="00B8237D"/>
    <w:rsid w:val="00B82BD7"/>
    <w:rsid w:val="00B83BB5"/>
    <w:rsid w:val="00B84D62"/>
    <w:rsid w:val="00B84D96"/>
    <w:rsid w:val="00B8597B"/>
    <w:rsid w:val="00B861DD"/>
    <w:rsid w:val="00B90833"/>
    <w:rsid w:val="00B9245B"/>
    <w:rsid w:val="00B94C5F"/>
    <w:rsid w:val="00B96054"/>
    <w:rsid w:val="00B9688E"/>
    <w:rsid w:val="00BA1623"/>
    <w:rsid w:val="00BA292C"/>
    <w:rsid w:val="00BA3AE1"/>
    <w:rsid w:val="00BA53E9"/>
    <w:rsid w:val="00BB1A3F"/>
    <w:rsid w:val="00BB2972"/>
    <w:rsid w:val="00BB4992"/>
    <w:rsid w:val="00BB5E80"/>
    <w:rsid w:val="00BB6E5F"/>
    <w:rsid w:val="00BB7304"/>
    <w:rsid w:val="00BB7A90"/>
    <w:rsid w:val="00BC0D67"/>
    <w:rsid w:val="00BC1404"/>
    <w:rsid w:val="00BC177B"/>
    <w:rsid w:val="00BC1A78"/>
    <w:rsid w:val="00BC2079"/>
    <w:rsid w:val="00BC4341"/>
    <w:rsid w:val="00BC5F46"/>
    <w:rsid w:val="00BC7DDF"/>
    <w:rsid w:val="00BD0065"/>
    <w:rsid w:val="00BD0299"/>
    <w:rsid w:val="00BD0382"/>
    <w:rsid w:val="00BD0773"/>
    <w:rsid w:val="00BD27EC"/>
    <w:rsid w:val="00BD3652"/>
    <w:rsid w:val="00BD3EC1"/>
    <w:rsid w:val="00BD4DF5"/>
    <w:rsid w:val="00BD54E6"/>
    <w:rsid w:val="00BD6421"/>
    <w:rsid w:val="00BD6D83"/>
    <w:rsid w:val="00BE010A"/>
    <w:rsid w:val="00BE0AD8"/>
    <w:rsid w:val="00BE0B7E"/>
    <w:rsid w:val="00BE1EC7"/>
    <w:rsid w:val="00BE20B7"/>
    <w:rsid w:val="00BE49A2"/>
    <w:rsid w:val="00BE5508"/>
    <w:rsid w:val="00BE7198"/>
    <w:rsid w:val="00BF2F48"/>
    <w:rsid w:val="00BF4C9B"/>
    <w:rsid w:val="00BF74E6"/>
    <w:rsid w:val="00C0075F"/>
    <w:rsid w:val="00C022FF"/>
    <w:rsid w:val="00C038DF"/>
    <w:rsid w:val="00C046AC"/>
    <w:rsid w:val="00C05B9D"/>
    <w:rsid w:val="00C05E55"/>
    <w:rsid w:val="00C06B42"/>
    <w:rsid w:val="00C07204"/>
    <w:rsid w:val="00C0771F"/>
    <w:rsid w:val="00C07A8D"/>
    <w:rsid w:val="00C1131B"/>
    <w:rsid w:val="00C138C1"/>
    <w:rsid w:val="00C13E71"/>
    <w:rsid w:val="00C15B66"/>
    <w:rsid w:val="00C1721B"/>
    <w:rsid w:val="00C20573"/>
    <w:rsid w:val="00C206E6"/>
    <w:rsid w:val="00C209F6"/>
    <w:rsid w:val="00C24336"/>
    <w:rsid w:val="00C249C9"/>
    <w:rsid w:val="00C24F2F"/>
    <w:rsid w:val="00C25614"/>
    <w:rsid w:val="00C259F4"/>
    <w:rsid w:val="00C27968"/>
    <w:rsid w:val="00C27BE7"/>
    <w:rsid w:val="00C30886"/>
    <w:rsid w:val="00C3164B"/>
    <w:rsid w:val="00C31CE1"/>
    <w:rsid w:val="00C32349"/>
    <w:rsid w:val="00C346B7"/>
    <w:rsid w:val="00C3759A"/>
    <w:rsid w:val="00C4055A"/>
    <w:rsid w:val="00C406F6"/>
    <w:rsid w:val="00C40A8A"/>
    <w:rsid w:val="00C423E1"/>
    <w:rsid w:val="00C4300D"/>
    <w:rsid w:val="00C43F8A"/>
    <w:rsid w:val="00C4466E"/>
    <w:rsid w:val="00C466CB"/>
    <w:rsid w:val="00C46E2E"/>
    <w:rsid w:val="00C52473"/>
    <w:rsid w:val="00C54AE6"/>
    <w:rsid w:val="00C55F82"/>
    <w:rsid w:val="00C56125"/>
    <w:rsid w:val="00C5758D"/>
    <w:rsid w:val="00C60C8F"/>
    <w:rsid w:val="00C614C7"/>
    <w:rsid w:val="00C627B7"/>
    <w:rsid w:val="00C63313"/>
    <w:rsid w:val="00C6497B"/>
    <w:rsid w:val="00C65173"/>
    <w:rsid w:val="00C664FA"/>
    <w:rsid w:val="00C6734D"/>
    <w:rsid w:val="00C70001"/>
    <w:rsid w:val="00C72C78"/>
    <w:rsid w:val="00C73272"/>
    <w:rsid w:val="00C74F0A"/>
    <w:rsid w:val="00C757F1"/>
    <w:rsid w:val="00C75C07"/>
    <w:rsid w:val="00C77B56"/>
    <w:rsid w:val="00C80495"/>
    <w:rsid w:val="00C80861"/>
    <w:rsid w:val="00C8214F"/>
    <w:rsid w:val="00C83444"/>
    <w:rsid w:val="00C83570"/>
    <w:rsid w:val="00C84334"/>
    <w:rsid w:val="00C84E5B"/>
    <w:rsid w:val="00C874B4"/>
    <w:rsid w:val="00C87735"/>
    <w:rsid w:val="00C9063C"/>
    <w:rsid w:val="00C927C4"/>
    <w:rsid w:val="00C936F4"/>
    <w:rsid w:val="00C94184"/>
    <w:rsid w:val="00C941E8"/>
    <w:rsid w:val="00C94C18"/>
    <w:rsid w:val="00C950D3"/>
    <w:rsid w:val="00C95695"/>
    <w:rsid w:val="00C95C3E"/>
    <w:rsid w:val="00C96438"/>
    <w:rsid w:val="00CA0093"/>
    <w:rsid w:val="00CA13DA"/>
    <w:rsid w:val="00CA29EE"/>
    <w:rsid w:val="00CA39BB"/>
    <w:rsid w:val="00CA3CFE"/>
    <w:rsid w:val="00CA504B"/>
    <w:rsid w:val="00CA5B89"/>
    <w:rsid w:val="00CA647C"/>
    <w:rsid w:val="00CA6FBC"/>
    <w:rsid w:val="00CA7422"/>
    <w:rsid w:val="00CA7D90"/>
    <w:rsid w:val="00CB0993"/>
    <w:rsid w:val="00CB0B32"/>
    <w:rsid w:val="00CB1FE9"/>
    <w:rsid w:val="00CB2DA2"/>
    <w:rsid w:val="00CB387D"/>
    <w:rsid w:val="00CB3FA6"/>
    <w:rsid w:val="00CB40B9"/>
    <w:rsid w:val="00CC322F"/>
    <w:rsid w:val="00CC35B1"/>
    <w:rsid w:val="00CC3858"/>
    <w:rsid w:val="00CC38B4"/>
    <w:rsid w:val="00CC436D"/>
    <w:rsid w:val="00CC502D"/>
    <w:rsid w:val="00CC7187"/>
    <w:rsid w:val="00CC75F0"/>
    <w:rsid w:val="00CC7CCD"/>
    <w:rsid w:val="00CC7D9A"/>
    <w:rsid w:val="00CD1C29"/>
    <w:rsid w:val="00CD2918"/>
    <w:rsid w:val="00CD40E4"/>
    <w:rsid w:val="00CD4366"/>
    <w:rsid w:val="00CD43E8"/>
    <w:rsid w:val="00CE123B"/>
    <w:rsid w:val="00CE145D"/>
    <w:rsid w:val="00CE28ED"/>
    <w:rsid w:val="00CE305E"/>
    <w:rsid w:val="00CE5AAB"/>
    <w:rsid w:val="00CE6327"/>
    <w:rsid w:val="00CE7C96"/>
    <w:rsid w:val="00CF33B4"/>
    <w:rsid w:val="00CF3543"/>
    <w:rsid w:val="00CF3916"/>
    <w:rsid w:val="00CF43DB"/>
    <w:rsid w:val="00CF670D"/>
    <w:rsid w:val="00CF77BB"/>
    <w:rsid w:val="00D01F27"/>
    <w:rsid w:val="00D02606"/>
    <w:rsid w:val="00D02E34"/>
    <w:rsid w:val="00D0382C"/>
    <w:rsid w:val="00D054DD"/>
    <w:rsid w:val="00D06AF1"/>
    <w:rsid w:val="00D13F1E"/>
    <w:rsid w:val="00D14143"/>
    <w:rsid w:val="00D142E5"/>
    <w:rsid w:val="00D17371"/>
    <w:rsid w:val="00D17BE1"/>
    <w:rsid w:val="00D2039E"/>
    <w:rsid w:val="00D20B37"/>
    <w:rsid w:val="00D213D2"/>
    <w:rsid w:val="00D23019"/>
    <w:rsid w:val="00D243EA"/>
    <w:rsid w:val="00D24FEC"/>
    <w:rsid w:val="00D30822"/>
    <w:rsid w:val="00D318C7"/>
    <w:rsid w:val="00D31CEB"/>
    <w:rsid w:val="00D3231D"/>
    <w:rsid w:val="00D34D42"/>
    <w:rsid w:val="00D35461"/>
    <w:rsid w:val="00D3599A"/>
    <w:rsid w:val="00D35CD2"/>
    <w:rsid w:val="00D36659"/>
    <w:rsid w:val="00D36D0C"/>
    <w:rsid w:val="00D36ECB"/>
    <w:rsid w:val="00D411FC"/>
    <w:rsid w:val="00D425FD"/>
    <w:rsid w:val="00D43B60"/>
    <w:rsid w:val="00D44230"/>
    <w:rsid w:val="00D44830"/>
    <w:rsid w:val="00D44924"/>
    <w:rsid w:val="00D453E8"/>
    <w:rsid w:val="00D46BC4"/>
    <w:rsid w:val="00D50397"/>
    <w:rsid w:val="00D50E93"/>
    <w:rsid w:val="00D52716"/>
    <w:rsid w:val="00D5441C"/>
    <w:rsid w:val="00D54AE7"/>
    <w:rsid w:val="00D55034"/>
    <w:rsid w:val="00D5633A"/>
    <w:rsid w:val="00D5635C"/>
    <w:rsid w:val="00D64168"/>
    <w:rsid w:val="00D6474F"/>
    <w:rsid w:val="00D7144A"/>
    <w:rsid w:val="00D71DE8"/>
    <w:rsid w:val="00D73E28"/>
    <w:rsid w:val="00D746E2"/>
    <w:rsid w:val="00D75B86"/>
    <w:rsid w:val="00D764A3"/>
    <w:rsid w:val="00D80C55"/>
    <w:rsid w:val="00D80F31"/>
    <w:rsid w:val="00D8104E"/>
    <w:rsid w:val="00D813C8"/>
    <w:rsid w:val="00D8307A"/>
    <w:rsid w:val="00D83338"/>
    <w:rsid w:val="00D848AC"/>
    <w:rsid w:val="00D869FE"/>
    <w:rsid w:val="00D90F81"/>
    <w:rsid w:val="00D92E15"/>
    <w:rsid w:val="00D956E6"/>
    <w:rsid w:val="00D9673A"/>
    <w:rsid w:val="00D97415"/>
    <w:rsid w:val="00D97F6C"/>
    <w:rsid w:val="00D97FAE"/>
    <w:rsid w:val="00DA2206"/>
    <w:rsid w:val="00DA28C0"/>
    <w:rsid w:val="00DA2C00"/>
    <w:rsid w:val="00DA2C05"/>
    <w:rsid w:val="00DA37C2"/>
    <w:rsid w:val="00DA4719"/>
    <w:rsid w:val="00DA4951"/>
    <w:rsid w:val="00DA55D4"/>
    <w:rsid w:val="00DA59E5"/>
    <w:rsid w:val="00DA609C"/>
    <w:rsid w:val="00DA65E0"/>
    <w:rsid w:val="00DA6ADC"/>
    <w:rsid w:val="00DA6D44"/>
    <w:rsid w:val="00DA7309"/>
    <w:rsid w:val="00DA77E0"/>
    <w:rsid w:val="00DB1902"/>
    <w:rsid w:val="00DB4241"/>
    <w:rsid w:val="00DB434C"/>
    <w:rsid w:val="00DB554C"/>
    <w:rsid w:val="00DB747B"/>
    <w:rsid w:val="00DC099B"/>
    <w:rsid w:val="00DC1D48"/>
    <w:rsid w:val="00DC2C6A"/>
    <w:rsid w:val="00DC56B8"/>
    <w:rsid w:val="00DC6BF1"/>
    <w:rsid w:val="00DC7B2B"/>
    <w:rsid w:val="00DD185E"/>
    <w:rsid w:val="00DD1A7C"/>
    <w:rsid w:val="00DD3947"/>
    <w:rsid w:val="00DD3B50"/>
    <w:rsid w:val="00DD3C54"/>
    <w:rsid w:val="00DD4EC4"/>
    <w:rsid w:val="00DD5684"/>
    <w:rsid w:val="00DE21D8"/>
    <w:rsid w:val="00DE30C5"/>
    <w:rsid w:val="00DE39BC"/>
    <w:rsid w:val="00DE42CE"/>
    <w:rsid w:val="00DE4F75"/>
    <w:rsid w:val="00DE5016"/>
    <w:rsid w:val="00DE5CB5"/>
    <w:rsid w:val="00DE6DBA"/>
    <w:rsid w:val="00DE7217"/>
    <w:rsid w:val="00DE7B71"/>
    <w:rsid w:val="00DE7C31"/>
    <w:rsid w:val="00DF005B"/>
    <w:rsid w:val="00DF05D5"/>
    <w:rsid w:val="00DF13EE"/>
    <w:rsid w:val="00DF1505"/>
    <w:rsid w:val="00DF16CD"/>
    <w:rsid w:val="00DF1E5E"/>
    <w:rsid w:val="00DF259A"/>
    <w:rsid w:val="00DF33B2"/>
    <w:rsid w:val="00DF3970"/>
    <w:rsid w:val="00DF4226"/>
    <w:rsid w:val="00DF47C6"/>
    <w:rsid w:val="00DF597B"/>
    <w:rsid w:val="00DF6866"/>
    <w:rsid w:val="00DF694A"/>
    <w:rsid w:val="00DF7DC1"/>
    <w:rsid w:val="00E033E7"/>
    <w:rsid w:val="00E04372"/>
    <w:rsid w:val="00E045F4"/>
    <w:rsid w:val="00E04E59"/>
    <w:rsid w:val="00E053A7"/>
    <w:rsid w:val="00E06842"/>
    <w:rsid w:val="00E06BE0"/>
    <w:rsid w:val="00E07185"/>
    <w:rsid w:val="00E07B88"/>
    <w:rsid w:val="00E118DB"/>
    <w:rsid w:val="00E11C2F"/>
    <w:rsid w:val="00E11E52"/>
    <w:rsid w:val="00E129D6"/>
    <w:rsid w:val="00E12BD2"/>
    <w:rsid w:val="00E134B8"/>
    <w:rsid w:val="00E13C81"/>
    <w:rsid w:val="00E144E0"/>
    <w:rsid w:val="00E14A8D"/>
    <w:rsid w:val="00E15A2D"/>
    <w:rsid w:val="00E15E81"/>
    <w:rsid w:val="00E21A9F"/>
    <w:rsid w:val="00E21C42"/>
    <w:rsid w:val="00E260AA"/>
    <w:rsid w:val="00E2770F"/>
    <w:rsid w:val="00E2777E"/>
    <w:rsid w:val="00E30E69"/>
    <w:rsid w:val="00E31DAA"/>
    <w:rsid w:val="00E33018"/>
    <w:rsid w:val="00E33736"/>
    <w:rsid w:val="00E34CAE"/>
    <w:rsid w:val="00E34F8A"/>
    <w:rsid w:val="00E35C64"/>
    <w:rsid w:val="00E41455"/>
    <w:rsid w:val="00E41FF5"/>
    <w:rsid w:val="00E4229D"/>
    <w:rsid w:val="00E432C1"/>
    <w:rsid w:val="00E43D6D"/>
    <w:rsid w:val="00E44562"/>
    <w:rsid w:val="00E44807"/>
    <w:rsid w:val="00E4543D"/>
    <w:rsid w:val="00E46A3D"/>
    <w:rsid w:val="00E47428"/>
    <w:rsid w:val="00E4788B"/>
    <w:rsid w:val="00E5209F"/>
    <w:rsid w:val="00E520C8"/>
    <w:rsid w:val="00E52881"/>
    <w:rsid w:val="00E54221"/>
    <w:rsid w:val="00E54508"/>
    <w:rsid w:val="00E549BE"/>
    <w:rsid w:val="00E54BA7"/>
    <w:rsid w:val="00E55207"/>
    <w:rsid w:val="00E563ED"/>
    <w:rsid w:val="00E5660F"/>
    <w:rsid w:val="00E56BDD"/>
    <w:rsid w:val="00E57AEF"/>
    <w:rsid w:val="00E60249"/>
    <w:rsid w:val="00E621E2"/>
    <w:rsid w:val="00E62DC6"/>
    <w:rsid w:val="00E62E7A"/>
    <w:rsid w:val="00E63BEA"/>
    <w:rsid w:val="00E64154"/>
    <w:rsid w:val="00E64C55"/>
    <w:rsid w:val="00E667D1"/>
    <w:rsid w:val="00E66C06"/>
    <w:rsid w:val="00E67616"/>
    <w:rsid w:val="00E70E55"/>
    <w:rsid w:val="00E717AB"/>
    <w:rsid w:val="00E720CB"/>
    <w:rsid w:val="00E725F4"/>
    <w:rsid w:val="00E75609"/>
    <w:rsid w:val="00E7587F"/>
    <w:rsid w:val="00E766BB"/>
    <w:rsid w:val="00E77263"/>
    <w:rsid w:val="00E773C1"/>
    <w:rsid w:val="00E7787E"/>
    <w:rsid w:val="00E80802"/>
    <w:rsid w:val="00E81CCE"/>
    <w:rsid w:val="00E8287C"/>
    <w:rsid w:val="00E837A3"/>
    <w:rsid w:val="00E841DC"/>
    <w:rsid w:val="00E845A9"/>
    <w:rsid w:val="00E85154"/>
    <w:rsid w:val="00E867E3"/>
    <w:rsid w:val="00E87DEA"/>
    <w:rsid w:val="00E9075E"/>
    <w:rsid w:val="00E913B4"/>
    <w:rsid w:val="00E91BF0"/>
    <w:rsid w:val="00E9233D"/>
    <w:rsid w:val="00E924B3"/>
    <w:rsid w:val="00E92D29"/>
    <w:rsid w:val="00E93596"/>
    <w:rsid w:val="00E940BF"/>
    <w:rsid w:val="00E953E7"/>
    <w:rsid w:val="00E97040"/>
    <w:rsid w:val="00EA0DD1"/>
    <w:rsid w:val="00EA10AF"/>
    <w:rsid w:val="00EA1B51"/>
    <w:rsid w:val="00EA2DD9"/>
    <w:rsid w:val="00EA35A4"/>
    <w:rsid w:val="00EA459B"/>
    <w:rsid w:val="00EA4B47"/>
    <w:rsid w:val="00EA5D40"/>
    <w:rsid w:val="00EA695D"/>
    <w:rsid w:val="00EA74D6"/>
    <w:rsid w:val="00EB071A"/>
    <w:rsid w:val="00EB0D08"/>
    <w:rsid w:val="00EB17F1"/>
    <w:rsid w:val="00EB1A91"/>
    <w:rsid w:val="00EB3E67"/>
    <w:rsid w:val="00EB3FDB"/>
    <w:rsid w:val="00EC1C19"/>
    <w:rsid w:val="00EC44CD"/>
    <w:rsid w:val="00EC5DB2"/>
    <w:rsid w:val="00ED0243"/>
    <w:rsid w:val="00ED0DB2"/>
    <w:rsid w:val="00ED1E1E"/>
    <w:rsid w:val="00ED23A3"/>
    <w:rsid w:val="00ED3265"/>
    <w:rsid w:val="00ED41C1"/>
    <w:rsid w:val="00ED4AFD"/>
    <w:rsid w:val="00ED56EA"/>
    <w:rsid w:val="00ED6523"/>
    <w:rsid w:val="00EE0F4E"/>
    <w:rsid w:val="00EE102F"/>
    <w:rsid w:val="00EE12BC"/>
    <w:rsid w:val="00EE2E0A"/>
    <w:rsid w:val="00EE46C0"/>
    <w:rsid w:val="00EE5005"/>
    <w:rsid w:val="00EE59F7"/>
    <w:rsid w:val="00EE7417"/>
    <w:rsid w:val="00EE7B94"/>
    <w:rsid w:val="00EF0841"/>
    <w:rsid w:val="00EF22F4"/>
    <w:rsid w:val="00EF2ACA"/>
    <w:rsid w:val="00EF36D4"/>
    <w:rsid w:val="00EF4BA1"/>
    <w:rsid w:val="00EF53E6"/>
    <w:rsid w:val="00EF61CF"/>
    <w:rsid w:val="00F00699"/>
    <w:rsid w:val="00F0168F"/>
    <w:rsid w:val="00F01F98"/>
    <w:rsid w:val="00F02900"/>
    <w:rsid w:val="00F02D3E"/>
    <w:rsid w:val="00F030D7"/>
    <w:rsid w:val="00F036A4"/>
    <w:rsid w:val="00F04844"/>
    <w:rsid w:val="00F0731E"/>
    <w:rsid w:val="00F07A75"/>
    <w:rsid w:val="00F07F28"/>
    <w:rsid w:val="00F1043D"/>
    <w:rsid w:val="00F11035"/>
    <w:rsid w:val="00F114DE"/>
    <w:rsid w:val="00F12943"/>
    <w:rsid w:val="00F12A99"/>
    <w:rsid w:val="00F135BE"/>
    <w:rsid w:val="00F13FD1"/>
    <w:rsid w:val="00F141E3"/>
    <w:rsid w:val="00F14486"/>
    <w:rsid w:val="00F15163"/>
    <w:rsid w:val="00F155A4"/>
    <w:rsid w:val="00F17767"/>
    <w:rsid w:val="00F17FEF"/>
    <w:rsid w:val="00F21780"/>
    <w:rsid w:val="00F22442"/>
    <w:rsid w:val="00F2246D"/>
    <w:rsid w:val="00F22CE5"/>
    <w:rsid w:val="00F22F34"/>
    <w:rsid w:val="00F234A2"/>
    <w:rsid w:val="00F23F83"/>
    <w:rsid w:val="00F24C51"/>
    <w:rsid w:val="00F252EA"/>
    <w:rsid w:val="00F26644"/>
    <w:rsid w:val="00F30577"/>
    <w:rsid w:val="00F3255A"/>
    <w:rsid w:val="00F32565"/>
    <w:rsid w:val="00F327D2"/>
    <w:rsid w:val="00F33065"/>
    <w:rsid w:val="00F362D7"/>
    <w:rsid w:val="00F36300"/>
    <w:rsid w:val="00F41123"/>
    <w:rsid w:val="00F41A6C"/>
    <w:rsid w:val="00F42136"/>
    <w:rsid w:val="00F474C3"/>
    <w:rsid w:val="00F50A9C"/>
    <w:rsid w:val="00F50D89"/>
    <w:rsid w:val="00F50EE3"/>
    <w:rsid w:val="00F52728"/>
    <w:rsid w:val="00F53744"/>
    <w:rsid w:val="00F54073"/>
    <w:rsid w:val="00F549F3"/>
    <w:rsid w:val="00F56B51"/>
    <w:rsid w:val="00F57872"/>
    <w:rsid w:val="00F60045"/>
    <w:rsid w:val="00F60848"/>
    <w:rsid w:val="00F60A6A"/>
    <w:rsid w:val="00F6170B"/>
    <w:rsid w:val="00F63876"/>
    <w:rsid w:val="00F63D23"/>
    <w:rsid w:val="00F640C1"/>
    <w:rsid w:val="00F66173"/>
    <w:rsid w:val="00F6626C"/>
    <w:rsid w:val="00F671B7"/>
    <w:rsid w:val="00F74C10"/>
    <w:rsid w:val="00F753B6"/>
    <w:rsid w:val="00F75D9E"/>
    <w:rsid w:val="00F776C7"/>
    <w:rsid w:val="00F80A0D"/>
    <w:rsid w:val="00F82678"/>
    <w:rsid w:val="00F830DE"/>
    <w:rsid w:val="00F8314C"/>
    <w:rsid w:val="00F83838"/>
    <w:rsid w:val="00F84D20"/>
    <w:rsid w:val="00F856C0"/>
    <w:rsid w:val="00F866FA"/>
    <w:rsid w:val="00F8788E"/>
    <w:rsid w:val="00F879E8"/>
    <w:rsid w:val="00F90BD9"/>
    <w:rsid w:val="00F91D43"/>
    <w:rsid w:val="00F95C75"/>
    <w:rsid w:val="00F9638E"/>
    <w:rsid w:val="00FA240B"/>
    <w:rsid w:val="00FA2779"/>
    <w:rsid w:val="00FA2D55"/>
    <w:rsid w:val="00FA4F93"/>
    <w:rsid w:val="00FA5E33"/>
    <w:rsid w:val="00FB0AE6"/>
    <w:rsid w:val="00FB29E4"/>
    <w:rsid w:val="00FB4548"/>
    <w:rsid w:val="00FB5397"/>
    <w:rsid w:val="00FC0569"/>
    <w:rsid w:val="00FC1F9D"/>
    <w:rsid w:val="00FC28AF"/>
    <w:rsid w:val="00FC3820"/>
    <w:rsid w:val="00FC3B10"/>
    <w:rsid w:val="00FC4B72"/>
    <w:rsid w:val="00FC5241"/>
    <w:rsid w:val="00FC5702"/>
    <w:rsid w:val="00FC7EE6"/>
    <w:rsid w:val="00FD0D6E"/>
    <w:rsid w:val="00FD15FC"/>
    <w:rsid w:val="00FD21EC"/>
    <w:rsid w:val="00FD2399"/>
    <w:rsid w:val="00FD2BAE"/>
    <w:rsid w:val="00FD438E"/>
    <w:rsid w:val="00FD58A8"/>
    <w:rsid w:val="00FD656F"/>
    <w:rsid w:val="00FD6576"/>
    <w:rsid w:val="00FD7965"/>
    <w:rsid w:val="00FE081B"/>
    <w:rsid w:val="00FE0F11"/>
    <w:rsid w:val="00FE2829"/>
    <w:rsid w:val="00FE609C"/>
    <w:rsid w:val="00FE68E1"/>
    <w:rsid w:val="00FE6B22"/>
    <w:rsid w:val="00FE6DD8"/>
    <w:rsid w:val="00FF0462"/>
    <w:rsid w:val="00FF18BC"/>
    <w:rsid w:val="00FF314B"/>
    <w:rsid w:val="00FF4DB1"/>
    <w:rsid w:val="00FF5BBC"/>
    <w:rsid w:val="00FF60EC"/>
    <w:rsid w:val="00FF6282"/>
    <w:rsid w:val="00FF6422"/>
    <w:rsid w:val="00FF6805"/>
    <w:rsid w:val="010E4CB0"/>
    <w:rsid w:val="01213EEB"/>
    <w:rsid w:val="013B4CBD"/>
    <w:rsid w:val="015101CF"/>
    <w:rsid w:val="016513CC"/>
    <w:rsid w:val="01917EE5"/>
    <w:rsid w:val="01E6034B"/>
    <w:rsid w:val="02152F68"/>
    <w:rsid w:val="022D4E96"/>
    <w:rsid w:val="02362DFB"/>
    <w:rsid w:val="025D2CED"/>
    <w:rsid w:val="02685DE8"/>
    <w:rsid w:val="02686243"/>
    <w:rsid w:val="02BD0002"/>
    <w:rsid w:val="02BD7078"/>
    <w:rsid w:val="02EC054B"/>
    <w:rsid w:val="03124F36"/>
    <w:rsid w:val="03795A4E"/>
    <w:rsid w:val="037B491E"/>
    <w:rsid w:val="043D1E24"/>
    <w:rsid w:val="04F72892"/>
    <w:rsid w:val="050D033D"/>
    <w:rsid w:val="055C06D0"/>
    <w:rsid w:val="05882A0C"/>
    <w:rsid w:val="05AB9368"/>
    <w:rsid w:val="05C2667D"/>
    <w:rsid w:val="05E6219A"/>
    <w:rsid w:val="061D02A3"/>
    <w:rsid w:val="06705E4F"/>
    <w:rsid w:val="06802B91"/>
    <w:rsid w:val="06867756"/>
    <w:rsid w:val="06A468CB"/>
    <w:rsid w:val="06B06A07"/>
    <w:rsid w:val="06E43C60"/>
    <w:rsid w:val="076D74BE"/>
    <w:rsid w:val="077D3D8A"/>
    <w:rsid w:val="07E308C0"/>
    <w:rsid w:val="082B170E"/>
    <w:rsid w:val="0835481D"/>
    <w:rsid w:val="08B86E6C"/>
    <w:rsid w:val="08CA7016"/>
    <w:rsid w:val="08EA3BC3"/>
    <w:rsid w:val="099B7EBF"/>
    <w:rsid w:val="099F00AB"/>
    <w:rsid w:val="09C0199B"/>
    <w:rsid w:val="0A3B4C9E"/>
    <w:rsid w:val="0AC56D44"/>
    <w:rsid w:val="0AD3208B"/>
    <w:rsid w:val="0AE01C06"/>
    <w:rsid w:val="0B153462"/>
    <w:rsid w:val="0B2838A0"/>
    <w:rsid w:val="0B3E2B13"/>
    <w:rsid w:val="0B8D6935"/>
    <w:rsid w:val="0C115077"/>
    <w:rsid w:val="0C220991"/>
    <w:rsid w:val="0C7D0476"/>
    <w:rsid w:val="0CB10BBC"/>
    <w:rsid w:val="0D1E6F1D"/>
    <w:rsid w:val="0D233594"/>
    <w:rsid w:val="0D6E40CE"/>
    <w:rsid w:val="0D7942FB"/>
    <w:rsid w:val="0D8338AA"/>
    <w:rsid w:val="0D867FF8"/>
    <w:rsid w:val="0DAC1EEB"/>
    <w:rsid w:val="0DB00A09"/>
    <w:rsid w:val="0DE3105D"/>
    <w:rsid w:val="0E1A10E4"/>
    <w:rsid w:val="0E6779A5"/>
    <w:rsid w:val="0EE1513E"/>
    <w:rsid w:val="0F082525"/>
    <w:rsid w:val="0FB251C5"/>
    <w:rsid w:val="10157EA9"/>
    <w:rsid w:val="1038632F"/>
    <w:rsid w:val="103F3D25"/>
    <w:rsid w:val="107237DE"/>
    <w:rsid w:val="10CB2D83"/>
    <w:rsid w:val="10CD38CB"/>
    <w:rsid w:val="10DA3D7C"/>
    <w:rsid w:val="11BA54FC"/>
    <w:rsid w:val="11D92F1C"/>
    <w:rsid w:val="11E41CFA"/>
    <w:rsid w:val="11F23012"/>
    <w:rsid w:val="12071EAE"/>
    <w:rsid w:val="12154C98"/>
    <w:rsid w:val="123D57E3"/>
    <w:rsid w:val="12491CDF"/>
    <w:rsid w:val="124C5044"/>
    <w:rsid w:val="125F61C7"/>
    <w:rsid w:val="127F43EB"/>
    <w:rsid w:val="128406EC"/>
    <w:rsid w:val="128A0EB8"/>
    <w:rsid w:val="12AE1B73"/>
    <w:rsid w:val="12D8071F"/>
    <w:rsid w:val="132B2A1A"/>
    <w:rsid w:val="13CA25DE"/>
    <w:rsid w:val="13E50799"/>
    <w:rsid w:val="140639E0"/>
    <w:rsid w:val="15826771"/>
    <w:rsid w:val="159702A0"/>
    <w:rsid w:val="160A3C72"/>
    <w:rsid w:val="16586528"/>
    <w:rsid w:val="16A40403"/>
    <w:rsid w:val="16D4340D"/>
    <w:rsid w:val="17122AC9"/>
    <w:rsid w:val="171B1FE1"/>
    <w:rsid w:val="17307E89"/>
    <w:rsid w:val="17D55FE6"/>
    <w:rsid w:val="18396C2C"/>
    <w:rsid w:val="18530F35"/>
    <w:rsid w:val="19177B90"/>
    <w:rsid w:val="19412674"/>
    <w:rsid w:val="195B580C"/>
    <w:rsid w:val="19672C0C"/>
    <w:rsid w:val="19C64102"/>
    <w:rsid w:val="19C97505"/>
    <w:rsid w:val="19CE2A98"/>
    <w:rsid w:val="19ED123A"/>
    <w:rsid w:val="19EF25F0"/>
    <w:rsid w:val="19F15913"/>
    <w:rsid w:val="1A4F4DF9"/>
    <w:rsid w:val="1A736557"/>
    <w:rsid w:val="1A945D14"/>
    <w:rsid w:val="1B236E24"/>
    <w:rsid w:val="1B422B5E"/>
    <w:rsid w:val="1BD66843"/>
    <w:rsid w:val="1C1542A5"/>
    <w:rsid w:val="1C280A6A"/>
    <w:rsid w:val="1C4E77C9"/>
    <w:rsid w:val="1C725A9E"/>
    <w:rsid w:val="1C9A3A9C"/>
    <w:rsid w:val="1CAF23F0"/>
    <w:rsid w:val="1CFB7912"/>
    <w:rsid w:val="1D54698F"/>
    <w:rsid w:val="1D650EE7"/>
    <w:rsid w:val="1D9D179F"/>
    <w:rsid w:val="1DE86BA0"/>
    <w:rsid w:val="1E7B30CA"/>
    <w:rsid w:val="1F0C4626"/>
    <w:rsid w:val="1F411BFB"/>
    <w:rsid w:val="1F64500C"/>
    <w:rsid w:val="1F7C1422"/>
    <w:rsid w:val="1FCE0D62"/>
    <w:rsid w:val="1FD53D5E"/>
    <w:rsid w:val="20214FE6"/>
    <w:rsid w:val="20820668"/>
    <w:rsid w:val="20C00EF0"/>
    <w:rsid w:val="211377B2"/>
    <w:rsid w:val="214622FC"/>
    <w:rsid w:val="217B1B11"/>
    <w:rsid w:val="21A22E22"/>
    <w:rsid w:val="21B008A6"/>
    <w:rsid w:val="21D84835"/>
    <w:rsid w:val="225E35F0"/>
    <w:rsid w:val="225E3F20"/>
    <w:rsid w:val="22D4351B"/>
    <w:rsid w:val="22E6016E"/>
    <w:rsid w:val="231D69AA"/>
    <w:rsid w:val="232D0243"/>
    <w:rsid w:val="234261F3"/>
    <w:rsid w:val="23536565"/>
    <w:rsid w:val="237150D5"/>
    <w:rsid w:val="23B16549"/>
    <w:rsid w:val="23E84635"/>
    <w:rsid w:val="23EB2FC1"/>
    <w:rsid w:val="240B7D3C"/>
    <w:rsid w:val="24345B1B"/>
    <w:rsid w:val="24511A9B"/>
    <w:rsid w:val="24686B23"/>
    <w:rsid w:val="24D07F73"/>
    <w:rsid w:val="24E274CC"/>
    <w:rsid w:val="252B2698"/>
    <w:rsid w:val="2544026D"/>
    <w:rsid w:val="254D2548"/>
    <w:rsid w:val="2551573C"/>
    <w:rsid w:val="258B383C"/>
    <w:rsid w:val="25FC127C"/>
    <w:rsid w:val="26595DCD"/>
    <w:rsid w:val="265F1D4E"/>
    <w:rsid w:val="26765772"/>
    <w:rsid w:val="26FF598A"/>
    <w:rsid w:val="270D7589"/>
    <w:rsid w:val="272B5060"/>
    <w:rsid w:val="275778F0"/>
    <w:rsid w:val="276A6690"/>
    <w:rsid w:val="27763E3F"/>
    <w:rsid w:val="27E51657"/>
    <w:rsid w:val="27F4552D"/>
    <w:rsid w:val="28465BA8"/>
    <w:rsid w:val="284A308F"/>
    <w:rsid w:val="285848F3"/>
    <w:rsid w:val="28880B87"/>
    <w:rsid w:val="28A6280C"/>
    <w:rsid w:val="29EC65F2"/>
    <w:rsid w:val="2A73238D"/>
    <w:rsid w:val="2A7D1A6E"/>
    <w:rsid w:val="2AFB0572"/>
    <w:rsid w:val="2B203406"/>
    <w:rsid w:val="2B2A6090"/>
    <w:rsid w:val="2B3D1019"/>
    <w:rsid w:val="2B4B11AE"/>
    <w:rsid w:val="2B5B49B0"/>
    <w:rsid w:val="2B5E09AB"/>
    <w:rsid w:val="2B766FC0"/>
    <w:rsid w:val="2B9855D6"/>
    <w:rsid w:val="2BDB1161"/>
    <w:rsid w:val="2C0218BC"/>
    <w:rsid w:val="2C0923D2"/>
    <w:rsid w:val="2C0D31D0"/>
    <w:rsid w:val="2C453C58"/>
    <w:rsid w:val="2C646491"/>
    <w:rsid w:val="2CA41D25"/>
    <w:rsid w:val="2CDF446E"/>
    <w:rsid w:val="2CF83B91"/>
    <w:rsid w:val="2CFD3EB0"/>
    <w:rsid w:val="2D115654"/>
    <w:rsid w:val="2D151948"/>
    <w:rsid w:val="2D3E0E0C"/>
    <w:rsid w:val="2D467125"/>
    <w:rsid w:val="2D716BD1"/>
    <w:rsid w:val="2D877211"/>
    <w:rsid w:val="2E43228E"/>
    <w:rsid w:val="2E4D33D7"/>
    <w:rsid w:val="2E5C0947"/>
    <w:rsid w:val="2E6E0F04"/>
    <w:rsid w:val="2E852264"/>
    <w:rsid w:val="2EAC6F53"/>
    <w:rsid w:val="2EB15445"/>
    <w:rsid w:val="2EC52FBF"/>
    <w:rsid w:val="2EE95D0F"/>
    <w:rsid w:val="2F994CA7"/>
    <w:rsid w:val="2FB93701"/>
    <w:rsid w:val="2FC149F9"/>
    <w:rsid w:val="2FFDD7DD"/>
    <w:rsid w:val="30137F9A"/>
    <w:rsid w:val="302F1828"/>
    <w:rsid w:val="307E5FAF"/>
    <w:rsid w:val="30847691"/>
    <w:rsid w:val="30C94216"/>
    <w:rsid w:val="30DA4C36"/>
    <w:rsid w:val="30E04199"/>
    <w:rsid w:val="30E978C2"/>
    <w:rsid w:val="30FB2F88"/>
    <w:rsid w:val="31022BA9"/>
    <w:rsid w:val="310D3B82"/>
    <w:rsid w:val="318F3500"/>
    <w:rsid w:val="31AD14B6"/>
    <w:rsid w:val="31E762F5"/>
    <w:rsid w:val="31F2605E"/>
    <w:rsid w:val="32381AE1"/>
    <w:rsid w:val="329E432A"/>
    <w:rsid w:val="32D163CA"/>
    <w:rsid w:val="32DD51B5"/>
    <w:rsid w:val="332A343D"/>
    <w:rsid w:val="34586EAC"/>
    <w:rsid w:val="34602C0F"/>
    <w:rsid w:val="34783827"/>
    <w:rsid w:val="34C3414A"/>
    <w:rsid w:val="350F5915"/>
    <w:rsid w:val="35277ABC"/>
    <w:rsid w:val="356B169B"/>
    <w:rsid w:val="35747E32"/>
    <w:rsid w:val="35846CD9"/>
    <w:rsid w:val="35B52B49"/>
    <w:rsid w:val="363D637F"/>
    <w:rsid w:val="36460D2D"/>
    <w:rsid w:val="364A5BBD"/>
    <w:rsid w:val="36FF0A87"/>
    <w:rsid w:val="370D4AC5"/>
    <w:rsid w:val="372E127B"/>
    <w:rsid w:val="37A50E0E"/>
    <w:rsid w:val="383D5EA5"/>
    <w:rsid w:val="3854132E"/>
    <w:rsid w:val="38BC65EE"/>
    <w:rsid w:val="38DC64AD"/>
    <w:rsid w:val="39195433"/>
    <w:rsid w:val="391A6A76"/>
    <w:rsid w:val="39E9288D"/>
    <w:rsid w:val="3A1F554B"/>
    <w:rsid w:val="3A630A0C"/>
    <w:rsid w:val="3A79310C"/>
    <w:rsid w:val="3AA653FE"/>
    <w:rsid w:val="3AE54E41"/>
    <w:rsid w:val="3B661668"/>
    <w:rsid w:val="3BB10B94"/>
    <w:rsid w:val="3BDF0E5E"/>
    <w:rsid w:val="3BFF67CD"/>
    <w:rsid w:val="3C6D6569"/>
    <w:rsid w:val="3CA40962"/>
    <w:rsid w:val="3D7E123F"/>
    <w:rsid w:val="3D8C5675"/>
    <w:rsid w:val="3D90575C"/>
    <w:rsid w:val="3DA52D8A"/>
    <w:rsid w:val="3DD06170"/>
    <w:rsid w:val="3DDF2419"/>
    <w:rsid w:val="3E4157B7"/>
    <w:rsid w:val="3E666443"/>
    <w:rsid w:val="3E6E2461"/>
    <w:rsid w:val="3E9C221A"/>
    <w:rsid w:val="3EBB6A99"/>
    <w:rsid w:val="3EF706A4"/>
    <w:rsid w:val="3F34587B"/>
    <w:rsid w:val="3F4C0AB6"/>
    <w:rsid w:val="3F64518A"/>
    <w:rsid w:val="3FBE858D"/>
    <w:rsid w:val="3FC86F4C"/>
    <w:rsid w:val="3FD326B3"/>
    <w:rsid w:val="3FFF2A06"/>
    <w:rsid w:val="40080D83"/>
    <w:rsid w:val="401F5CB4"/>
    <w:rsid w:val="40670517"/>
    <w:rsid w:val="40E03541"/>
    <w:rsid w:val="40F74A4B"/>
    <w:rsid w:val="416E7AAF"/>
    <w:rsid w:val="417A6938"/>
    <w:rsid w:val="417F3B4D"/>
    <w:rsid w:val="41BF4EF7"/>
    <w:rsid w:val="41CC0E93"/>
    <w:rsid w:val="41DB45A1"/>
    <w:rsid w:val="423E4E9D"/>
    <w:rsid w:val="42717517"/>
    <w:rsid w:val="42847044"/>
    <w:rsid w:val="42A07F5A"/>
    <w:rsid w:val="42AF6E5E"/>
    <w:rsid w:val="42E60E49"/>
    <w:rsid w:val="43135248"/>
    <w:rsid w:val="432B1CC4"/>
    <w:rsid w:val="43636DE3"/>
    <w:rsid w:val="436C129A"/>
    <w:rsid w:val="436F3D4A"/>
    <w:rsid w:val="43951903"/>
    <w:rsid w:val="43B70F13"/>
    <w:rsid w:val="43BD5998"/>
    <w:rsid w:val="43DF7DA2"/>
    <w:rsid w:val="44090CD0"/>
    <w:rsid w:val="441026C0"/>
    <w:rsid w:val="44314AEE"/>
    <w:rsid w:val="44844CA4"/>
    <w:rsid w:val="44B27DCD"/>
    <w:rsid w:val="44EB00EE"/>
    <w:rsid w:val="44EE4F54"/>
    <w:rsid w:val="44FA689E"/>
    <w:rsid w:val="455510E2"/>
    <w:rsid w:val="455F4E1D"/>
    <w:rsid w:val="457D1AE9"/>
    <w:rsid w:val="458875B9"/>
    <w:rsid w:val="45BD7F3A"/>
    <w:rsid w:val="46604441"/>
    <w:rsid w:val="467415D7"/>
    <w:rsid w:val="46757C4F"/>
    <w:rsid w:val="46D256F1"/>
    <w:rsid w:val="47041F6D"/>
    <w:rsid w:val="47456BEA"/>
    <w:rsid w:val="476A0F5E"/>
    <w:rsid w:val="476E1150"/>
    <w:rsid w:val="47B13ED8"/>
    <w:rsid w:val="47DA2E0D"/>
    <w:rsid w:val="480159B9"/>
    <w:rsid w:val="48024603"/>
    <w:rsid w:val="48025898"/>
    <w:rsid w:val="48B972DB"/>
    <w:rsid w:val="48D52717"/>
    <w:rsid w:val="48E603BD"/>
    <w:rsid w:val="49B77E0C"/>
    <w:rsid w:val="49D547D5"/>
    <w:rsid w:val="4A8D7F58"/>
    <w:rsid w:val="4AA701A4"/>
    <w:rsid w:val="4AE152DE"/>
    <w:rsid w:val="4B067F73"/>
    <w:rsid w:val="4B112531"/>
    <w:rsid w:val="4B1A161F"/>
    <w:rsid w:val="4B2266DB"/>
    <w:rsid w:val="4B342052"/>
    <w:rsid w:val="4B914855"/>
    <w:rsid w:val="4BA42184"/>
    <w:rsid w:val="4BA54C8C"/>
    <w:rsid w:val="4C3176C9"/>
    <w:rsid w:val="4C8B63E7"/>
    <w:rsid w:val="4C907934"/>
    <w:rsid w:val="4CA30782"/>
    <w:rsid w:val="4CCC5D96"/>
    <w:rsid w:val="4D40593D"/>
    <w:rsid w:val="4D44414D"/>
    <w:rsid w:val="4DD96425"/>
    <w:rsid w:val="4E033696"/>
    <w:rsid w:val="4E0B729B"/>
    <w:rsid w:val="4E29646C"/>
    <w:rsid w:val="4E343983"/>
    <w:rsid w:val="4E3B7C6D"/>
    <w:rsid w:val="4E6635A9"/>
    <w:rsid w:val="4EDE27C3"/>
    <w:rsid w:val="4F086EF9"/>
    <w:rsid w:val="4F150C06"/>
    <w:rsid w:val="4F193140"/>
    <w:rsid w:val="4F1B0AB6"/>
    <w:rsid w:val="4F4E3863"/>
    <w:rsid w:val="4FAB0F9C"/>
    <w:rsid w:val="4FB378EF"/>
    <w:rsid w:val="4FB50B46"/>
    <w:rsid w:val="4FB7C78A"/>
    <w:rsid w:val="4FEA0F8B"/>
    <w:rsid w:val="5034198E"/>
    <w:rsid w:val="5059061A"/>
    <w:rsid w:val="50C64C09"/>
    <w:rsid w:val="50D71AB5"/>
    <w:rsid w:val="51092220"/>
    <w:rsid w:val="523927A6"/>
    <w:rsid w:val="524E65DB"/>
    <w:rsid w:val="526168E1"/>
    <w:rsid w:val="527A33A1"/>
    <w:rsid w:val="52C350E6"/>
    <w:rsid w:val="52E93B93"/>
    <w:rsid w:val="532E004B"/>
    <w:rsid w:val="533966C4"/>
    <w:rsid w:val="533C1C26"/>
    <w:rsid w:val="53A54516"/>
    <w:rsid w:val="53D4326F"/>
    <w:rsid w:val="53D96BD2"/>
    <w:rsid w:val="54E376FA"/>
    <w:rsid w:val="54EF5B3A"/>
    <w:rsid w:val="54F76283"/>
    <w:rsid w:val="54F90FE5"/>
    <w:rsid w:val="550A547A"/>
    <w:rsid w:val="551650E1"/>
    <w:rsid w:val="555E63F7"/>
    <w:rsid w:val="55666AA4"/>
    <w:rsid w:val="55714D0F"/>
    <w:rsid w:val="567B30BF"/>
    <w:rsid w:val="567F7AA3"/>
    <w:rsid w:val="56826E59"/>
    <w:rsid w:val="5694037A"/>
    <w:rsid w:val="56D73AF6"/>
    <w:rsid w:val="57275B98"/>
    <w:rsid w:val="57673859"/>
    <w:rsid w:val="578454F6"/>
    <w:rsid w:val="57CB3B7C"/>
    <w:rsid w:val="57D238D1"/>
    <w:rsid w:val="57DD5E70"/>
    <w:rsid w:val="57FE5AB4"/>
    <w:rsid w:val="585278E6"/>
    <w:rsid w:val="585E1FFF"/>
    <w:rsid w:val="58811A1D"/>
    <w:rsid w:val="59570287"/>
    <w:rsid w:val="595C2B75"/>
    <w:rsid w:val="59614CA9"/>
    <w:rsid w:val="599263C7"/>
    <w:rsid w:val="59FC7AD7"/>
    <w:rsid w:val="5A336B2B"/>
    <w:rsid w:val="5A4B3CC3"/>
    <w:rsid w:val="5A616AC4"/>
    <w:rsid w:val="5A6C0224"/>
    <w:rsid w:val="5A9556D8"/>
    <w:rsid w:val="5AD63DD7"/>
    <w:rsid w:val="5B414EB8"/>
    <w:rsid w:val="5B706549"/>
    <w:rsid w:val="5B7669C2"/>
    <w:rsid w:val="5BB26AAE"/>
    <w:rsid w:val="5BB43240"/>
    <w:rsid w:val="5BDC1C19"/>
    <w:rsid w:val="5BFD050C"/>
    <w:rsid w:val="5C1B2D36"/>
    <w:rsid w:val="5D0611CA"/>
    <w:rsid w:val="5D2E6DB5"/>
    <w:rsid w:val="5D396D49"/>
    <w:rsid w:val="5D541B6A"/>
    <w:rsid w:val="5D56087A"/>
    <w:rsid w:val="5D62489E"/>
    <w:rsid w:val="5D823CC9"/>
    <w:rsid w:val="5DBB1DB7"/>
    <w:rsid w:val="5DEA0D5F"/>
    <w:rsid w:val="5E465E29"/>
    <w:rsid w:val="5E506A7F"/>
    <w:rsid w:val="5E880DAE"/>
    <w:rsid w:val="5E8A7F9E"/>
    <w:rsid w:val="5E8C3A6A"/>
    <w:rsid w:val="5ED0112F"/>
    <w:rsid w:val="5ED84D6B"/>
    <w:rsid w:val="5F087B93"/>
    <w:rsid w:val="5F575F53"/>
    <w:rsid w:val="5F9157A6"/>
    <w:rsid w:val="5FD74671"/>
    <w:rsid w:val="60066219"/>
    <w:rsid w:val="60315295"/>
    <w:rsid w:val="604F182C"/>
    <w:rsid w:val="613604CD"/>
    <w:rsid w:val="6136431C"/>
    <w:rsid w:val="613E16FF"/>
    <w:rsid w:val="615615D2"/>
    <w:rsid w:val="619C1361"/>
    <w:rsid w:val="61AA0747"/>
    <w:rsid w:val="61BF6142"/>
    <w:rsid w:val="624F2B23"/>
    <w:rsid w:val="62A15C5C"/>
    <w:rsid w:val="62AA0850"/>
    <w:rsid w:val="6331670A"/>
    <w:rsid w:val="636A0F9C"/>
    <w:rsid w:val="63715D1A"/>
    <w:rsid w:val="6429276C"/>
    <w:rsid w:val="64370962"/>
    <w:rsid w:val="643E2044"/>
    <w:rsid w:val="646978E8"/>
    <w:rsid w:val="646A2FDF"/>
    <w:rsid w:val="64870ACA"/>
    <w:rsid w:val="648F1E3D"/>
    <w:rsid w:val="64CC4B59"/>
    <w:rsid w:val="64EF2EDA"/>
    <w:rsid w:val="652C1EA7"/>
    <w:rsid w:val="65344B35"/>
    <w:rsid w:val="655B3F92"/>
    <w:rsid w:val="658F0953"/>
    <w:rsid w:val="65C16F67"/>
    <w:rsid w:val="65F2746E"/>
    <w:rsid w:val="668065C4"/>
    <w:rsid w:val="66AF0530"/>
    <w:rsid w:val="66C670EC"/>
    <w:rsid w:val="66C7E023"/>
    <w:rsid w:val="66DF5B38"/>
    <w:rsid w:val="66FE0F12"/>
    <w:rsid w:val="670A4DB0"/>
    <w:rsid w:val="673957F4"/>
    <w:rsid w:val="67A6448B"/>
    <w:rsid w:val="67E70ED8"/>
    <w:rsid w:val="681F47A6"/>
    <w:rsid w:val="68F62079"/>
    <w:rsid w:val="693F7D28"/>
    <w:rsid w:val="69A901D8"/>
    <w:rsid w:val="69C41BF3"/>
    <w:rsid w:val="6ACA6620"/>
    <w:rsid w:val="6B0F7721"/>
    <w:rsid w:val="6B337F1D"/>
    <w:rsid w:val="6B645F60"/>
    <w:rsid w:val="6B7E5EE3"/>
    <w:rsid w:val="6B7F4A93"/>
    <w:rsid w:val="6BD17E47"/>
    <w:rsid w:val="6BF36628"/>
    <w:rsid w:val="6C123DB2"/>
    <w:rsid w:val="6C2D00E5"/>
    <w:rsid w:val="6C3E2788"/>
    <w:rsid w:val="6C465086"/>
    <w:rsid w:val="6C4B6915"/>
    <w:rsid w:val="6C8149B4"/>
    <w:rsid w:val="6C957A54"/>
    <w:rsid w:val="6C9D18BE"/>
    <w:rsid w:val="6CD36DF8"/>
    <w:rsid w:val="6CDD73E8"/>
    <w:rsid w:val="6CDF58A5"/>
    <w:rsid w:val="6CFB54F7"/>
    <w:rsid w:val="6D3D558F"/>
    <w:rsid w:val="6D41670E"/>
    <w:rsid w:val="6D4E0DC8"/>
    <w:rsid w:val="6DA7558D"/>
    <w:rsid w:val="6DD012E1"/>
    <w:rsid w:val="6DEA1304"/>
    <w:rsid w:val="6E0E1A43"/>
    <w:rsid w:val="6E1868BC"/>
    <w:rsid w:val="6E3D31F2"/>
    <w:rsid w:val="6E7722CF"/>
    <w:rsid w:val="6E990282"/>
    <w:rsid w:val="6EA87014"/>
    <w:rsid w:val="6EB41A46"/>
    <w:rsid w:val="6EF17CE2"/>
    <w:rsid w:val="6EF34D41"/>
    <w:rsid w:val="6F577249"/>
    <w:rsid w:val="6F684AB0"/>
    <w:rsid w:val="6FB81334"/>
    <w:rsid w:val="6FD7DE2B"/>
    <w:rsid w:val="6FE428A5"/>
    <w:rsid w:val="70364AF5"/>
    <w:rsid w:val="709E7F29"/>
    <w:rsid w:val="70A36C4A"/>
    <w:rsid w:val="70E5083B"/>
    <w:rsid w:val="70EA1ACA"/>
    <w:rsid w:val="70F62C4C"/>
    <w:rsid w:val="71123FD5"/>
    <w:rsid w:val="71366D15"/>
    <w:rsid w:val="716B77C3"/>
    <w:rsid w:val="71900C14"/>
    <w:rsid w:val="72114AA6"/>
    <w:rsid w:val="724A572B"/>
    <w:rsid w:val="727459A9"/>
    <w:rsid w:val="72773519"/>
    <w:rsid w:val="72CB5A60"/>
    <w:rsid w:val="72D0068C"/>
    <w:rsid w:val="72FD0045"/>
    <w:rsid w:val="731C041A"/>
    <w:rsid w:val="735D09B2"/>
    <w:rsid w:val="736936FD"/>
    <w:rsid w:val="737658B4"/>
    <w:rsid w:val="73F2151C"/>
    <w:rsid w:val="74A661D7"/>
    <w:rsid w:val="74EF4600"/>
    <w:rsid w:val="74F32112"/>
    <w:rsid w:val="750D67F4"/>
    <w:rsid w:val="75467479"/>
    <w:rsid w:val="75574E31"/>
    <w:rsid w:val="75784AD1"/>
    <w:rsid w:val="758D13B3"/>
    <w:rsid w:val="7591106C"/>
    <w:rsid w:val="75B86FE6"/>
    <w:rsid w:val="75CC0F7A"/>
    <w:rsid w:val="75CC2B83"/>
    <w:rsid w:val="75D354C2"/>
    <w:rsid w:val="75EA24E9"/>
    <w:rsid w:val="760D4E7E"/>
    <w:rsid w:val="76271040"/>
    <w:rsid w:val="762C4F2D"/>
    <w:rsid w:val="767E4760"/>
    <w:rsid w:val="768D7638"/>
    <w:rsid w:val="76A01B45"/>
    <w:rsid w:val="76C45377"/>
    <w:rsid w:val="76DF74A2"/>
    <w:rsid w:val="76E77E29"/>
    <w:rsid w:val="76EA79E9"/>
    <w:rsid w:val="77494D20"/>
    <w:rsid w:val="77794411"/>
    <w:rsid w:val="78135D6D"/>
    <w:rsid w:val="78403442"/>
    <w:rsid w:val="78496EF9"/>
    <w:rsid w:val="785170CC"/>
    <w:rsid w:val="786D4235"/>
    <w:rsid w:val="78752864"/>
    <w:rsid w:val="789F503B"/>
    <w:rsid w:val="79251C8E"/>
    <w:rsid w:val="792C1868"/>
    <w:rsid w:val="793A7160"/>
    <w:rsid w:val="7941228F"/>
    <w:rsid w:val="7963274E"/>
    <w:rsid w:val="79884A67"/>
    <w:rsid w:val="79A81754"/>
    <w:rsid w:val="79CB101A"/>
    <w:rsid w:val="7A054C8B"/>
    <w:rsid w:val="7A504FB5"/>
    <w:rsid w:val="7A860C81"/>
    <w:rsid w:val="7A91739F"/>
    <w:rsid w:val="7A9F2028"/>
    <w:rsid w:val="7AC81800"/>
    <w:rsid w:val="7AE41D34"/>
    <w:rsid w:val="7AEC1CD0"/>
    <w:rsid w:val="7B163177"/>
    <w:rsid w:val="7B2012AC"/>
    <w:rsid w:val="7B4B48A6"/>
    <w:rsid w:val="7C425185"/>
    <w:rsid w:val="7C7F7B1A"/>
    <w:rsid w:val="7C950F82"/>
    <w:rsid w:val="7D1E6004"/>
    <w:rsid w:val="7D286CD2"/>
    <w:rsid w:val="7D3C348D"/>
    <w:rsid w:val="7D8840EC"/>
    <w:rsid w:val="7DD140A1"/>
    <w:rsid w:val="7E1474F7"/>
    <w:rsid w:val="7E1A63E5"/>
    <w:rsid w:val="7E430318"/>
    <w:rsid w:val="7E6A833D"/>
    <w:rsid w:val="7EB26189"/>
    <w:rsid w:val="7EBF912F"/>
    <w:rsid w:val="7F351751"/>
    <w:rsid w:val="7F45721A"/>
    <w:rsid w:val="7F5644C0"/>
    <w:rsid w:val="7F71068F"/>
    <w:rsid w:val="7FB70AAE"/>
    <w:rsid w:val="7FD15757"/>
    <w:rsid w:val="7FD7DA65"/>
    <w:rsid w:val="7FDD5EBC"/>
    <w:rsid w:val="7FF98554"/>
    <w:rsid w:val="8ECFB503"/>
    <w:rsid w:val="AFE9F26C"/>
    <w:rsid w:val="BDDB80D8"/>
    <w:rsid w:val="D7F61A29"/>
    <w:rsid w:val="DF7BEE5C"/>
    <w:rsid w:val="DFEEE5B0"/>
    <w:rsid w:val="ED435E81"/>
    <w:rsid w:val="EF857295"/>
    <w:rsid w:val="EFBF039A"/>
    <w:rsid w:val="F6EB39A3"/>
    <w:rsid w:val="F9DC03DF"/>
    <w:rsid w:val="FB7F5BAD"/>
    <w:rsid w:val="FFBFD49B"/>
    <w:rsid w:val="FFFA7C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9"/>
    <w:pPr>
      <w:adjustRightInd w:val="0"/>
      <w:snapToGrid w:val="0"/>
      <w:spacing w:line="360" w:lineRule="auto"/>
      <w:jc w:val="left"/>
      <w:outlineLvl w:val="0"/>
    </w:pPr>
    <w:rPr>
      <w:b/>
      <w:bCs/>
      <w:kern w:val="44"/>
      <w:szCs w:val="44"/>
    </w:rPr>
  </w:style>
  <w:style w:type="paragraph" w:styleId="3">
    <w:name w:val="heading 2"/>
    <w:basedOn w:val="1"/>
    <w:next w:val="1"/>
    <w:link w:val="30"/>
    <w:unhideWhenUsed/>
    <w:qFormat/>
    <w:uiPriority w:val="9"/>
    <w:pPr>
      <w:keepNext/>
      <w:keepLines/>
      <w:adjustRightInd w:val="0"/>
      <w:snapToGrid w:val="0"/>
      <w:spacing w:line="360" w:lineRule="auto"/>
      <w:ind w:firstLine="200" w:firstLineChars="200"/>
      <w:jc w:val="left"/>
      <w:outlineLvl w:val="1"/>
    </w:pPr>
    <w:rPr>
      <w:rFonts w:ascii="Cambria" w:hAnsi="Cambria"/>
      <w:bCs/>
      <w:szCs w:val="32"/>
    </w:rPr>
  </w:style>
  <w:style w:type="paragraph" w:styleId="4">
    <w:name w:val="heading 3"/>
    <w:basedOn w:val="1"/>
    <w:next w:val="1"/>
    <w:link w:val="56"/>
    <w:unhideWhenUsed/>
    <w:qFormat/>
    <w:uiPriority w:val="9"/>
    <w:pPr>
      <w:keepNext/>
      <w:keepLines/>
      <w:spacing w:before="260" w:after="260" w:line="416" w:lineRule="auto"/>
      <w:outlineLvl w:val="2"/>
    </w:pPr>
    <w:rPr>
      <w:b/>
      <w:bCs/>
      <w:sz w:val="32"/>
      <w:szCs w:val="32"/>
    </w:rPr>
  </w:style>
  <w:style w:type="character" w:default="1" w:styleId="23">
    <w:name w:val="Default Paragraph Font"/>
    <w:unhideWhenUsed/>
    <w:qFormat/>
    <w:uiPriority w:val="1"/>
  </w:style>
  <w:style w:type="table" w:default="1" w:styleId="27">
    <w:name w:val="Normal Table"/>
    <w:unhideWhenUsed/>
    <w:qFormat/>
    <w:uiPriority w:val="99"/>
    <w:tblPr>
      <w:tblLayout w:type="fixed"/>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style>
  <w:style w:type="paragraph" w:styleId="6">
    <w:name w:val="Normal Indent"/>
    <w:basedOn w:val="1"/>
    <w:next w:val="7"/>
    <w:unhideWhenUsed/>
    <w:qFormat/>
    <w:uiPriority w:val="99"/>
    <w:pPr>
      <w:ind w:firstLine="420" w:firstLineChars="200"/>
    </w:pPr>
  </w:style>
  <w:style w:type="paragraph" w:styleId="7">
    <w:name w:val="Body Text"/>
    <w:basedOn w:val="1"/>
    <w:link w:val="55"/>
    <w:unhideWhenUsed/>
    <w:qFormat/>
    <w:uiPriority w:val="99"/>
    <w:pPr>
      <w:spacing w:after="120"/>
    </w:pPr>
  </w:style>
  <w:style w:type="paragraph" w:styleId="8">
    <w:name w:val="Document Map"/>
    <w:basedOn w:val="1"/>
    <w:link w:val="37"/>
    <w:unhideWhenUsed/>
    <w:qFormat/>
    <w:uiPriority w:val="99"/>
    <w:rPr>
      <w:rFonts w:ascii="宋体" w:eastAsia="宋体"/>
      <w:sz w:val="18"/>
      <w:szCs w:val="18"/>
    </w:rPr>
  </w:style>
  <w:style w:type="paragraph" w:styleId="9">
    <w:name w:val="annotation text"/>
    <w:basedOn w:val="1"/>
    <w:link w:val="57"/>
    <w:unhideWhenUsed/>
    <w:qFormat/>
    <w:uiPriority w:val="99"/>
    <w:pPr>
      <w:jc w:val="left"/>
    </w:pPr>
  </w:style>
  <w:style w:type="paragraph" w:styleId="10">
    <w:name w:val="toc 5"/>
    <w:basedOn w:val="1"/>
    <w:next w:val="1"/>
    <w:unhideWhenUsed/>
    <w:qFormat/>
    <w:uiPriority w:val="39"/>
    <w:pPr>
      <w:ind w:left="1680" w:leftChars="800"/>
    </w:pPr>
  </w:style>
  <w:style w:type="paragraph" w:styleId="11">
    <w:name w:val="toc 3"/>
    <w:basedOn w:val="1"/>
    <w:next w:val="1"/>
    <w:unhideWhenUsed/>
    <w:qFormat/>
    <w:uiPriority w:val="39"/>
    <w:pPr>
      <w:widowControl/>
      <w:spacing w:after="100" w:line="259" w:lineRule="auto"/>
      <w:ind w:left="440"/>
      <w:jc w:val="left"/>
    </w:pPr>
    <w:rPr>
      <w:rFonts w:cs="Times New Roman"/>
      <w:kern w:val="0"/>
      <w:sz w:val="22"/>
    </w:rPr>
  </w:style>
  <w:style w:type="paragraph" w:styleId="12">
    <w:name w:val="toc 8"/>
    <w:basedOn w:val="1"/>
    <w:next w:val="1"/>
    <w:unhideWhenUsed/>
    <w:qFormat/>
    <w:uiPriority w:val="39"/>
    <w:pPr>
      <w:ind w:left="2940" w:leftChars="1400"/>
    </w:pPr>
  </w:style>
  <w:style w:type="paragraph" w:styleId="13">
    <w:name w:val="Balloon Text"/>
    <w:basedOn w:val="1"/>
    <w:link w:val="34"/>
    <w:unhideWhenUsed/>
    <w:qFormat/>
    <w:uiPriority w:val="99"/>
    <w:rPr>
      <w:sz w:val="18"/>
      <w:szCs w:val="18"/>
    </w:rPr>
  </w:style>
  <w:style w:type="paragraph" w:styleId="14">
    <w:name w:val="footer"/>
    <w:basedOn w:val="1"/>
    <w:link w:val="33"/>
    <w:unhideWhenUsed/>
    <w:qFormat/>
    <w:uiPriority w:val="99"/>
    <w:pPr>
      <w:tabs>
        <w:tab w:val="center" w:pos="4153"/>
        <w:tab w:val="right" w:pos="8306"/>
      </w:tabs>
      <w:snapToGrid w:val="0"/>
      <w:ind w:firstLine="200" w:firstLineChars="200"/>
      <w:jc w:val="left"/>
    </w:pPr>
    <w:rPr>
      <w:rFonts w:ascii="Times New Roman" w:hAnsi="Times New Roman" w:eastAsia="宋体" w:cs="Times New Roman"/>
      <w:sz w:val="18"/>
      <w:szCs w:val="18"/>
    </w:rPr>
  </w:style>
  <w:style w:type="paragraph" w:styleId="15">
    <w:name w:val="header"/>
    <w:basedOn w:val="1"/>
    <w:link w:val="32"/>
    <w:unhideWhenUsed/>
    <w:qFormat/>
    <w:uiPriority w:val="99"/>
    <w:pPr>
      <w:pBdr>
        <w:bottom w:val="single" w:color="auto" w:sz="6" w:space="1"/>
      </w:pBdr>
      <w:tabs>
        <w:tab w:val="center" w:pos="4153"/>
        <w:tab w:val="right" w:pos="8306"/>
      </w:tabs>
      <w:snapToGrid w:val="0"/>
      <w:ind w:firstLine="200" w:firstLineChars="200"/>
      <w:jc w:val="center"/>
    </w:pPr>
    <w:rPr>
      <w:rFonts w:ascii="Times New Roman" w:hAnsi="Times New Roman" w:eastAsia="宋体" w:cs="Times New Roman"/>
      <w:sz w:val="18"/>
      <w:szCs w:val="18"/>
    </w:rPr>
  </w:style>
  <w:style w:type="paragraph" w:styleId="16">
    <w:name w:val="toc 1"/>
    <w:basedOn w:val="1"/>
    <w:next w:val="1"/>
    <w:unhideWhenUsed/>
    <w:qFormat/>
    <w:uiPriority w:val="39"/>
    <w:pPr>
      <w:widowControl/>
      <w:tabs>
        <w:tab w:val="right" w:leader="dot" w:pos="8296"/>
      </w:tabs>
      <w:spacing w:beforeLines="50" w:afterLines="50"/>
      <w:jc w:val="left"/>
    </w:pPr>
    <w:rPr>
      <w:rFonts w:cs="Times New Roman"/>
      <w:kern w:val="0"/>
      <w:sz w:val="22"/>
    </w:rPr>
  </w:style>
  <w:style w:type="paragraph" w:styleId="17">
    <w:name w:val="toc 4"/>
    <w:basedOn w:val="1"/>
    <w:next w:val="1"/>
    <w:unhideWhenUsed/>
    <w:qFormat/>
    <w:uiPriority w:val="39"/>
    <w:pPr>
      <w:ind w:left="1260" w:leftChars="600"/>
    </w:pPr>
  </w:style>
  <w:style w:type="paragraph" w:styleId="18">
    <w:name w:val="footnote text"/>
    <w:basedOn w:val="1"/>
    <w:link w:val="31"/>
    <w:unhideWhenUsed/>
    <w:qFormat/>
    <w:uiPriority w:val="99"/>
    <w:pPr>
      <w:widowControl/>
      <w:adjustRightInd w:val="0"/>
      <w:snapToGrid w:val="0"/>
      <w:jc w:val="left"/>
    </w:pPr>
    <w:rPr>
      <w:rFonts w:ascii="Tahoma" w:hAnsi="Tahoma" w:eastAsia="宋体"/>
      <w:kern w:val="0"/>
      <w:sz w:val="18"/>
      <w:szCs w:val="18"/>
    </w:rPr>
  </w:style>
  <w:style w:type="paragraph" w:styleId="19">
    <w:name w:val="toc 6"/>
    <w:basedOn w:val="1"/>
    <w:next w:val="1"/>
    <w:unhideWhenUsed/>
    <w:qFormat/>
    <w:uiPriority w:val="39"/>
    <w:pPr>
      <w:ind w:left="2100" w:leftChars="1000"/>
    </w:pPr>
  </w:style>
  <w:style w:type="paragraph" w:styleId="20">
    <w:name w:val="toc 2"/>
    <w:basedOn w:val="1"/>
    <w:next w:val="1"/>
    <w:unhideWhenUsed/>
    <w:qFormat/>
    <w:uiPriority w:val="39"/>
    <w:pPr>
      <w:widowControl/>
      <w:spacing w:after="100" w:line="259" w:lineRule="auto"/>
      <w:ind w:left="220"/>
      <w:jc w:val="left"/>
    </w:pPr>
    <w:rPr>
      <w:rFonts w:cs="Times New Roman"/>
      <w:kern w:val="0"/>
      <w:sz w:val="22"/>
    </w:rPr>
  </w:style>
  <w:style w:type="paragraph" w:styleId="21">
    <w:name w:val="toc 9"/>
    <w:basedOn w:val="1"/>
    <w:next w:val="1"/>
    <w:unhideWhenUsed/>
    <w:qFormat/>
    <w:uiPriority w:val="39"/>
    <w:pPr>
      <w:ind w:left="3360" w:leftChars="1600"/>
    </w:pPr>
  </w:style>
  <w:style w:type="paragraph" w:styleId="22">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24">
    <w:name w:val="Strong"/>
    <w:qFormat/>
    <w:uiPriority w:val="22"/>
    <w:rPr>
      <w:b/>
      <w:bCs/>
    </w:rPr>
  </w:style>
  <w:style w:type="character" w:styleId="25">
    <w:name w:val="Hyperlink"/>
    <w:basedOn w:val="23"/>
    <w:unhideWhenUsed/>
    <w:qFormat/>
    <w:uiPriority w:val="99"/>
    <w:rPr>
      <w:color w:val="0000FF"/>
      <w:u w:val="single"/>
    </w:rPr>
  </w:style>
  <w:style w:type="character" w:styleId="26">
    <w:name w:val="footnote reference"/>
    <w:basedOn w:val="23"/>
    <w:qFormat/>
    <w:uiPriority w:val="0"/>
    <w:rPr>
      <w:vertAlign w:val="superscript"/>
    </w:rPr>
  </w:style>
  <w:style w:type="table" w:styleId="28">
    <w:name w:val="Table Grid"/>
    <w:basedOn w:val="27"/>
    <w:qFormat/>
    <w:uiPriority w:val="59"/>
    <w:rPr>
      <w:rFonts w:ascii="Calibri" w:hAnsi="Calibri" w:cs="宋体"/>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customStyle="1" w:styleId="29">
    <w:name w:val="标题 1 字符"/>
    <w:link w:val="2"/>
    <w:qFormat/>
    <w:uiPriority w:val="9"/>
    <w:rPr>
      <w:b/>
      <w:bCs/>
      <w:kern w:val="44"/>
      <w:sz w:val="21"/>
      <w:szCs w:val="44"/>
    </w:rPr>
  </w:style>
  <w:style w:type="character" w:customStyle="1" w:styleId="30">
    <w:name w:val="标题 2 字符"/>
    <w:link w:val="3"/>
    <w:qFormat/>
    <w:uiPriority w:val="9"/>
    <w:rPr>
      <w:rFonts w:ascii="Cambria" w:hAnsi="Cambria"/>
      <w:bCs/>
      <w:kern w:val="2"/>
      <w:sz w:val="21"/>
      <w:szCs w:val="32"/>
    </w:rPr>
  </w:style>
  <w:style w:type="character" w:customStyle="1" w:styleId="31">
    <w:name w:val="脚注文本 字符"/>
    <w:basedOn w:val="23"/>
    <w:link w:val="18"/>
    <w:qFormat/>
    <w:uiPriority w:val="99"/>
    <w:rPr>
      <w:rFonts w:ascii="Tahoma" w:hAnsi="Tahoma" w:eastAsia="宋体"/>
      <w:kern w:val="0"/>
      <w:sz w:val="18"/>
      <w:szCs w:val="18"/>
    </w:rPr>
  </w:style>
  <w:style w:type="character" w:customStyle="1" w:styleId="32">
    <w:name w:val="页眉 字符"/>
    <w:basedOn w:val="23"/>
    <w:link w:val="15"/>
    <w:qFormat/>
    <w:uiPriority w:val="99"/>
    <w:rPr>
      <w:rFonts w:ascii="Times New Roman" w:hAnsi="Times New Roman" w:eastAsia="宋体" w:cs="Times New Roman"/>
      <w:sz w:val="18"/>
      <w:szCs w:val="18"/>
    </w:rPr>
  </w:style>
  <w:style w:type="character" w:customStyle="1" w:styleId="33">
    <w:name w:val="页脚 字符"/>
    <w:basedOn w:val="23"/>
    <w:link w:val="14"/>
    <w:qFormat/>
    <w:uiPriority w:val="99"/>
    <w:rPr>
      <w:rFonts w:ascii="Times New Roman" w:hAnsi="Times New Roman" w:eastAsia="宋体" w:cs="Times New Roman"/>
      <w:sz w:val="18"/>
      <w:szCs w:val="18"/>
    </w:rPr>
  </w:style>
  <w:style w:type="character" w:customStyle="1" w:styleId="34">
    <w:name w:val="批注框文本 字符"/>
    <w:basedOn w:val="23"/>
    <w:link w:val="13"/>
    <w:semiHidden/>
    <w:qFormat/>
    <w:uiPriority w:val="99"/>
    <w:rPr>
      <w:sz w:val="18"/>
      <w:szCs w:val="18"/>
    </w:rPr>
  </w:style>
  <w:style w:type="character" w:customStyle="1" w:styleId="35">
    <w:name w:val="pt1"/>
    <w:basedOn w:val="23"/>
    <w:qFormat/>
    <w:uiPriority w:val="0"/>
    <w:rPr>
      <w:rFonts w:hint="eastAsia" w:ascii="宋体" w:hAnsi="宋体" w:eastAsia="宋体" w:cs="Courier New"/>
      <w:sz w:val="32"/>
      <w:szCs w:val="32"/>
    </w:rPr>
  </w:style>
  <w:style w:type="paragraph" w:customStyle="1" w:styleId="36">
    <w:name w:val="Char Char Char Char"/>
    <w:basedOn w:val="1"/>
    <w:qFormat/>
    <w:uiPriority w:val="0"/>
    <w:rPr>
      <w:rFonts w:ascii="宋体" w:hAnsi="宋体" w:eastAsia="宋体" w:cs="Courier New"/>
      <w:sz w:val="32"/>
      <w:szCs w:val="32"/>
    </w:rPr>
  </w:style>
  <w:style w:type="character" w:customStyle="1" w:styleId="37">
    <w:name w:val="文档结构图 字符"/>
    <w:basedOn w:val="23"/>
    <w:link w:val="8"/>
    <w:semiHidden/>
    <w:qFormat/>
    <w:uiPriority w:val="99"/>
    <w:rPr>
      <w:rFonts w:ascii="宋体" w:eastAsia="宋体"/>
      <w:sz w:val="18"/>
      <w:szCs w:val="18"/>
    </w:rPr>
  </w:style>
  <w:style w:type="paragraph" w:customStyle="1" w:styleId="38">
    <w:name w:val="Char Char Char"/>
    <w:basedOn w:val="1"/>
    <w:qFormat/>
    <w:uiPriority w:val="0"/>
    <w:rPr>
      <w:rFonts w:ascii="Calibri" w:hAnsi="Calibri" w:eastAsia="宋体" w:cs="Times New Roman"/>
      <w:szCs w:val="24"/>
    </w:rPr>
  </w:style>
  <w:style w:type="paragraph" w:customStyle="1" w:styleId="39">
    <w:name w:val="Char Char Char1"/>
    <w:basedOn w:val="1"/>
    <w:qFormat/>
    <w:uiPriority w:val="0"/>
    <w:rPr>
      <w:rFonts w:ascii="Calibri" w:hAnsi="Calibri" w:eastAsia="宋体" w:cs="Times New Roman"/>
      <w:szCs w:val="24"/>
    </w:rPr>
  </w:style>
  <w:style w:type="paragraph" w:customStyle="1" w:styleId="40">
    <w:name w:val="Char Char Char Char1"/>
    <w:basedOn w:val="1"/>
    <w:qFormat/>
    <w:uiPriority w:val="0"/>
    <w:rPr>
      <w:rFonts w:ascii="宋体" w:hAnsi="宋体" w:eastAsia="宋体" w:cs="Courier New"/>
      <w:sz w:val="32"/>
      <w:szCs w:val="32"/>
    </w:rPr>
  </w:style>
  <w:style w:type="paragraph" w:customStyle="1" w:styleId="41">
    <w:name w:val="Char Char Char2"/>
    <w:basedOn w:val="1"/>
    <w:qFormat/>
    <w:uiPriority w:val="0"/>
    <w:rPr>
      <w:rFonts w:ascii="Calibri" w:hAnsi="Calibri" w:eastAsia="宋体" w:cs="Times New Roman"/>
      <w:szCs w:val="24"/>
    </w:rPr>
  </w:style>
  <w:style w:type="paragraph" w:customStyle="1" w:styleId="42">
    <w:name w:val="Char Char Char Char2"/>
    <w:basedOn w:val="1"/>
    <w:qFormat/>
    <w:uiPriority w:val="0"/>
    <w:rPr>
      <w:rFonts w:ascii="宋体" w:hAnsi="宋体" w:eastAsia="宋体" w:cs="Courier New"/>
      <w:sz w:val="32"/>
      <w:szCs w:val="32"/>
    </w:rPr>
  </w:style>
  <w:style w:type="paragraph" w:customStyle="1" w:styleId="43">
    <w:name w:val="Char Char Char3"/>
    <w:basedOn w:val="1"/>
    <w:qFormat/>
    <w:uiPriority w:val="0"/>
    <w:rPr>
      <w:rFonts w:ascii="Calibri" w:hAnsi="Calibri" w:eastAsia="宋体" w:cs="Times New Roman"/>
      <w:szCs w:val="24"/>
    </w:rPr>
  </w:style>
  <w:style w:type="paragraph" w:customStyle="1" w:styleId="44">
    <w:name w:val="Char Char Char Char3"/>
    <w:basedOn w:val="1"/>
    <w:qFormat/>
    <w:uiPriority w:val="0"/>
    <w:rPr>
      <w:rFonts w:ascii="宋体" w:hAnsi="宋体" w:eastAsia="宋体" w:cs="Courier New"/>
      <w:sz w:val="32"/>
      <w:szCs w:val="32"/>
    </w:rPr>
  </w:style>
  <w:style w:type="paragraph" w:customStyle="1" w:styleId="45">
    <w:name w:val="Char Char Char Char4"/>
    <w:basedOn w:val="1"/>
    <w:qFormat/>
    <w:uiPriority w:val="0"/>
    <w:rPr>
      <w:rFonts w:ascii="宋体" w:hAnsi="宋体" w:eastAsia="宋体" w:cs="Courier New"/>
      <w:sz w:val="32"/>
      <w:szCs w:val="32"/>
    </w:rPr>
  </w:style>
  <w:style w:type="paragraph" w:customStyle="1" w:styleId="46">
    <w:name w:val="Char Char Char4"/>
    <w:basedOn w:val="1"/>
    <w:qFormat/>
    <w:uiPriority w:val="0"/>
    <w:rPr>
      <w:rFonts w:ascii="Calibri" w:hAnsi="Calibri" w:eastAsia="宋体" w:cs="Times New Roman"/>
      <w:szCs w:val="24"/>
    </w:rPr>
  </w:style>
  <w:style w:type="paragraph" w:customStyle="1" w:styleId="47">
    <w:name w:val="Char Char Char Char5"/>
    <w:basedOn w:val="1"/>
    <w:qFormat/>
    <w:uiPriority w:val="0"/>
    <w:rPr>
      <w:rFonts w:ascii="宋体" w:hAnsi="宋体" w:eastAsia="宋体" w:cs="Courier New"/>
      <w:sz w:val="32"/>
      <w:szCs w:val="32"/>
    </w:rPr>
  </w:style>
  <w:style w:type="paragraph" w:customStyle="1" w:styleId="48">
    <w:name w:val="列表段落1"/>
    <w:basedOn w:val="1"/>
    <w:qFormat/>
    <w:uiPriority w:val="34"/>
    <w:pPr>
      <w:spacing w:line="580" w:lineRule="exact"/>
      <w:ind w:firstLine="420" w:firstLineChars="200"/>
    </w:pPr>
    <w:rPr>
      <w:rFonts w:ascii="仿宋_GB2312" w:hAnsi="仿宋_GB2312" w:eastAsia="仿宋_GB2312" w:cs="Times New Roman"/>
      <w:sz w:val="32"/>
      <w:szCs w:val="32"/>
    </w:rPr>
  </w:style>
  <w:style w:type="paragraph" w:customStyle="1" w:styleId="49">
    <w:name w:val="Char"/>
    <w:basedOn w:val="1"/>
    <w:qFormat/>
    <w:uiPriority w:val="0"/>
    <w:rPr>
      <w:rFonts w:ascii="宋体" w:hAnsi="宋体" w:eastAsia="宋体" w:cs="Courier New"/>
      <w:sz w:val="32"/>
      <w:szCs w:val="32"/>
    </w:rPr>
  </w:style>
  <w:style w:type="paragraph" w:customStyle="1" w:styleId="50">
    <w:name w:val="Char Char Char Char6"/>
    <w:basedOn w:val="1"/>
    <w:qFormat/>
    <w:uiPriority w:val="0"/>
    <w:rPr>
      <w:rFonts w:ascii="宋体" w:hAnsi="宋体" w:eastAsia="宋体" w:cs="Courier New"/>
      <w:sz w:val="32"/>
      <w:szCs w:val="32"/>
    </w:rPr>
  </w:style>
  <w:style w:type="paragraph" w:customStyle="1" w:styleId="51">
    <w:name w:val="Char Char Char Char Char Char Char Char Char Char Char Char"/>
    <w:basedOn w:val="1"/>
    <w:qFormat/>
    <w:uiPriority w:val="0"/>
    <w:rPr>
      <w:rFonts w:ascii="宋体" w:hAnsi="宋体" w:eastAsia="宋体" w:cs="Courier New"/>
      <w:sz w:val="32"/>
      <w:szCs w:val="32"/>
    </w:rPr>
  </w:style>
  <w:style w:type="paragraph" w:customStyle="1" w:styleId="52">
    <w:name w:val="Char Char Char Char Char Char Char Char Char Char Char Char1"/>
    <w:basedOn w:val="1"/>
    <w:qFormat/>
    <w:uiPriority w:val="0"/>
    <w:rPr>
      <w:rFonts w:ascii="宋体" w:hAnsi="宋体" w:eastAsia="宋体" w:cs="Courier New"/>
      <w:sz w:val="32"/>
      <w:szCs w:val="32"/>
    </w:rPr>
  </w:style>
  <w:style w:type="paragraph" w:customStyle="1" w:styleId="53">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character" w:customStyle="1" w:styleId="54">
    <w:name w:val="NormalCharacter"/>
    <w:semiHidden/>
    <w:qFormat/>
    <w:uiPriority w:val="0"/>
    <w:rPr>
      <w:rFonts w:eastAsia="仿宋_GB2312" w:asciiTheme="minorHAnsi" w:hAnsiTheme="minorHAnsi" w:cstheme="minorBidi"/>
      <w:kern w:val="2"/>
      <w:sz w:val="32"/>
      <w:szCs w:val="22"/>
      <w:lang w:val="en-US" w:eastAsia="zh-CN" w:bidi="ar-SA"/>
    </w:rPr>
  </w:style>
  <w:style w:type="character" w:customStyle="1" w:styleId="55">
    <w:name w:val="正文文本 字符"/>
    <w:basedOn w:val="23"/>
    <w:link w:val="7"/>
    <w:semiHidden/>
    <w:qFormat/>
    <w:uiPriority w:val="99"/>
    <w:rPr>
      <w:kern w:val="2"/>
      <w:sz w:val="21"/>
      <w:szCs w:val="22"/>
    </w:rPr>
  </w:style>
  <w:style w:type="character" w:customStyle="1" w:styleId="56">
    <w:name w:val="标题 3 字符"/>
    <w:basedOn w:val="23"/>
    <w:link w:val="4"/>
    <w:semiHidden/>
    <w:qFormat/>
    <w:uiPriority w:val="9"/>
    <w:rPr>
      <w:b/>
      <w:bCs/>
      <w:kern w:val="2"/>
      <w:sz w:val="32"/>
      <w:szCs w:val="32"/>
    </w:rPr>
  </w:style>
  <w:style w:type="character" w:customStyle="1" w:styleId="57">
    <w:name w:val="批注文字 字符"/>
    <w:basedOn w:val="23"/>
    <w:link w:val="9"/>
    <w:qFormat/>
    <w:uiPriority w:val="99"/>
    <w:rPr>
      <w:rFonts w:asciiTheme="minorHAnsi" w:hAnsiTheme="minorHAnsi" w:eastAsiaTheme="minorEastAsia" w:cstheme="minorBidi"/>
      <w:kern w:val="2"/>
      <w:sz w:val="21"/>
      <w:szCs w:val="22"/>
    </w:rPr>
  </w:style>
  <w:style w:type="paragraph" w:customStyle="1" w:styleId="58">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9">
    <w:name w:val=" Char Char Char Char"/>
    <w:basedOn w:val="1"/>
    <w:qFormat/>
    <w:uiPriority w:val="0"/>
    <w:rPr>
      <w:rFonts w:ascii="宋体" w:hAnsi="宋体" w:cs="Courier New"/>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36</Pages>
  <Words>3149</Words>
  <Characters>17955</Characters>
  <Lines>149</Lines>
  <Paragraphs>42</Paragraphs>
  <ScaleCrop>false</ScaleCrop>
  <LinksUpToDate>false</LinksUpToDate>
  <CharactersWithSpaces>21062</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2021-06-02T03:11:00Z</dcterms:created>
  <dc:creator>微软用户</dc:creator>
  <cp:lastModifiedBy>MRX</cp:lastModifiedBy>
  <cp:lastPrinted>2022-04-11T03:34:00Z</cp:lastPrinted>
  <dcterms:modified xsi:type="dcterms:W3CDTF">2022-07-14T01:24:07Z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5EA533FE55BD4AC88FE65898B5DEBA1F</vt:lpwstr>
  </property>
</Properties>
</file>